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1276"/>
        <w:gridCol w:w="992"/>
        <w:gridCol w:w="1134"/>
        <w:gridCol w:w="851"/>
        <w:gridCol w:w="850"/>
        <w:gridCol w:w="1134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标的明细清单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标的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产权证号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坐落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挂牌价（万元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年）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交易保证金（万元）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履约保证金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建筑面积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经营品类要求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010337227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三桥南路131号A附2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16.2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烟酒日杂、超市、服装类</w:t>
            </w:r>
          </w:p>
        </w:tc>
        <w:tc>
          <w:tcPr>
            <w:tcW w:w="12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第二年开始，租金按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2%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递增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010337227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三桥南路131号A附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9.94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科学仪器、传媒创意类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010337255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三桥南路131号B附</w:t>
            </w:r>
            <w:r>
              <w:rPr>
                <w:rFonts w:ascii="宋体" w:hAnsi="宋体" w:eastAsia="宋体"/>
                <w:sz w:val="24"/>
                <w:szCs w:val="24"/>
              </w:rPr>
              <w:t>3、附4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6.75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金融类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010179222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1"/>
                <w:szCs w:val="21"/>
              </w:rPr>
              <w:t>三桥南路84号30栋B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附1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6.22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科学仪器、服装、烟酒食品类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010179222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1"/>
                <w:szCs w:val="21"/>
              </w:rPr>
              <w:t>三桥南路84号30栋B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附3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19.1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4.77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科学仪器、传媒创意类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三桥南路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89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栋附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9.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科学仪器、服装、烟酒食品类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合计面积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976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57B40221"/>
    <w:rsid w:val="57B4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2024-01-30T03:44:00Z</dcterms:created>
  <dc:creator>冲冲</dc:creator>
  <cp:lastModifiedBy>冲冲</cp:lastModifiedBy>
  <dcterms:modified xsi:type="dcterms:W3CDTF">2024-01-30T03:49:38Z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0881848D00384D1AAB73EB65FF0B07B5_11</vt:lpwstr>
  </property>
</Properties>
</file>