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2C1795">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sz w:val="44"/>
          <w:szCs w:val="44"/>
          <w:lang w:val="en-US" w:eastAsia="zh-CN"/>
        </w:rPr>
      </w:pPr>
      <w:bookmarkStart w:id="0" w:name="_GoBack"/>
      <w:bookmarkEnd w:id="0"/>
      <w:r>
        <w:rPr>
          <w:rFonts w:hint="eastAsia" w:ascii="方正小标宋简体" w:hAnsi="方正小标宋简体" w:eastAsia="方正小标宋简体" w:cs="方正小标宋简体"/>
          <w:sz w:val="44"/>
          <w:szCs w:val="44"/>
          <w:lang w:val="en-US" w:eastAsia="zh-CN"/>
        </w:rPr>
        <w:t>贵阳农村商业银行股份有限公司关于</w:t>
      </w:r>
    </w:p>
    <w:p w14:paraId="7D532C53">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“超值购·生活馆”优选生鲜板块</w:t>
      </w:r>
    </w:p>
    <w:p w14:paraId="6111AF93">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引入运营合作商服务要求及退出机制</w:t>
      </w:r>
    </w:p>
    <w:p w14:paraId="1C463FC8">
      <w:pPr>
        <w:pStyle w:val="2"/>
        <w:keepNext w:val="0"/>
        <w:keepLines w:val="0"/>
        <w:pageBreakBefore w:val="0"/>
        <w:widowControl w:val="0"/>
        <w:numPr>
          <w:ilvl w:val="0"/>
          <w:numId w:val="0"/>
        </w:numPr>
        <w:kinsoku/>
        <w:wordWrap/>
        <w:overflowPunct/>
        <w:topLinePunct w:val="0"/>
        <w:autoSpaceDE/>
        <w:autoSpaceDN/>
        <w:bidi w:val="0"/>
        <w:adjustRightInd/>
        <w:snapToGrid/>
        <w:spacing w:after="0" w:line="480" w:lineRule="exact"/>
        <w:jc w:val="both"/>
        <w:textAlignment w:val="auto"/>
        <w:rPr>
          <w:rFonts w:hint="eastAsia" w:ascii="楷体_GB2312" w:hAnsi="楷体_GB2312" w:eastAsia="楷体_GB2312" w:cs="楷体_GB2312"/>
          <w:b/>
          <w:bCs/>
          <w:color w:val="auto"/>
          <w:sz w:val="32"/>
          <w:szCs w:val="32"/>
          <w:lang w:val="en-US" w:eastAsia="zh-CN"/>
        </w:rPr>
      </w:pPr>
    </w:p>
    <w:p w14:paraId="60E02EAF">
      <w:pPr>
        <w:pStyle w:val="2"/>
        <w:keepNext w:val="0"/>
        <w:keepLines w:val="0"/>
        <w:pageBreakBefore w:val="0"/>
        <w:widowControl w:val="0"/>
        <w:numPr>
          <w:ilvl w:val="0"/>
          <w:numId w:val="0"/>
        </w:numPr>
        <w:kinsoku/>
        <w:wordWrap/>
        <w:overflowPunct/>
        <w:topLinePunct w:val="0"/>
        <w:autoSpaceDE/>
        <w:autoSpaceDN/>
        <w:bidi w:val="0"/>
        <w:adjustRightInd/>
        <w:snapToGrid/>
        <w:spacing w:after="0" w:line="480" w:lineRule="exact"/>
        <w:ind w:firstLine="640" w:firstLineChars="200"/>
        <w:jc w:val="both"/>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一、“优选生鲜”板块引入运营合作商服务要求</w:t>
      </w:r>
    </w:p>
    <w:p w14:paraId="5497108D">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（一）商品质量要求</w:t>
      </w:r>
    </w:p>
    <w:p w14:paraId="03E92F07">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1.普通商品专区</w:t>
      </w:r>
    </w:p>
    <w:p w14:paraId="21113478">
      <w:pPr>
        <w:keepNext w:val="0"/>
        <w:keepLines w:val="0"/>
        <w:pageBreakBefore w:val="0"/>
        <w:widowControl w:val="0"/>
        <w:kinsoku/>
        <w:wordWrap/>
        <w:overflowPunct/>
        <w:topLinePunct w:val="0"/>
        <w:autoSpaceDE/>
        <w:autoSpaceDN/>
        <w:bidi w:val="0"/>
        <w:adjustRightInd/>
        <w:snapToGrid/>
        <w:spacing w:line="480" w:lineRule="exact"/>
        <w:ind w:left="0" w:leftChars="0" w:firstLine="64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u w:val="none"/>
          <w:lang w:val="en-US" w:eastAsia="zh-CN"/>
        </w:rPr>
        <w:t>（1）生鲜类商品（水果蔬菜、肉禽鱼蛋、低温奶及海鲜水产）：</w:t>
      </w:r>
      <w:r>
        <w:rPr>
          <w:rFonts w:hint="eastAsia" w:ascii="仿宋_GB2312" w:hAnsi="仿宋_GB2312" w:eastAsia="仿宋_GB2312" w:cs="仿宋_GB2312"/>
          <w:color w:val="000000"/>
          <w:sz w:val="32"/>
          <w:szCs w:val="32"/>
          <w:u w:val="none"/>
        </w:rPr>
        <w:t>蔬菜需提供农残抽样检测报告</w:t>
      </w:r>
      <w:r>
        <w:rPr>
          <w:rFonts w:hint="eastAsia" w:ascii="仿宋_GB2312" w:hAnsi="仿宋_GB2312" w:eastAsia="仿宋_GB2312" w:cs="仿宋_GB2312"/>
          <w:color w:val="000000"/>
          <w:sz w:val="32"/>
          <w:szCs w:val="32"/>
          <w:u w:val="none"/>
          <w:lang w:eastAsia="zh-CN"/>
        </w:rPr>
        <w:t>；猪肉及牛肉需</w:t>
      </w:r>
      <w:r>
        <w:rPr>
          <w:rFonts w:hint="eastAsia" w:ascii="仿宋_GB2312" w:hAnsi="仿宋_GB2312" w:eastAsia="仿宋_GB2312" w:cs="仿宋_GB2312"/>
          <w:color w:val="000000"/>
          <w:sz w:val="32"/>
          <w:szCs w:val="32"/>
          <w:u w:val="none"/>
        </w:rPr>
        <w:t>提供贵阳市内屠宰出厂单和贵阳市本地检疫部门出具加盖国家或地方政府监督所检疫章的动物检疫证明</w:t>
      </w:r>
      <w:r>
        <w:rPr>
          <w:rFonts w:hint="eastAsia" w:ascii="仿宋_GB2312" w:hAnsi="仿宋_GB2312" w:eastAsia="仿宋_GB2312" w:cs="仿宋_GB2312"/>
          <w:color w:val="000000"/>
          <w:sz w:val="32"/>
          <w:szCs w:val="32"/>
          <w:u w:val="none"/>
          <w:lang w:eastAsia="zh-CN"/>
        </w:rPr>
        <w:t>；</w:t>
      </w:r>
      <w:r>
        <w:rPr>
          <w:rFonts w:hint="eastAsia" w:ascii="仿宋_GB2312" w:hAnsi="仿宋_GB2312" w:eastAsia="仿宋_GB2312" w:cs="仿宋_GB2312"/>
          <w:color w:val="000000"/>
          <w:sz w:val="32"/>
          <w:szCs w:val="32"/>
          <w:u w:val="none"/>
        </w:rPr>
        <w:t>家禽类</w:t>
      </w:r>
      <w:r>
        <w:rPr>
          <w:rFonts w:hint="eastAsia" w:ascii="仿宋_GB2312" w:hAnsi="仿宋_GB2312" w:eastAsia="仿宋_GB2312" w:cs="仿宋_GB2312"/>
          <w:color w:val="000000"/>
          <w:sz w:val="32"/>
          <w:szCs w:val="32"/>
          <w:u w:val="none"/>
          <w:lang w:eastAsia="zh-CN"/>
        </w:rPr>
        <w:t>需</w:t>
      </w:r>
      <w:r>
        <w:rPr>
          <w:rFonts w:hint="eastAsia" w:ascii="仿宋_GB2312" w:hAnsi="仿宋_GB2312" w:eastAsia="仿宋_GB2312" w:cs="仿宋_GB2312"/>
          <w:color w:val="000000"/>
          <w:sz w:val="32"/>
          <w:szCs w:val="32"/>
          <w:u w:val="none"/>
        </w:rPr>
        <w:t>提供贵阳市本地</w:t>
      </w:r>
      <w:r>
        <w:rPr>
          <w:rFonts w:hint="eastAsia" w:ascii="仿宋_GB2312" w:hAnsi="仿宋_GB2312" w:eastAsia="仿宋_GB2312" w:cs="仿宋_GB2312"/>
          <w:color w:val="000000"/>
          <w:sz w:val="32"/>
          <w:szCs w:val="32"/>
        </w:rPr>
        <w:t>检疫部门出具加盖国家或地方政府监督所检疫章的动物检疫证明</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奶制品</w:t>
      </w:r>
      <w:r>
        <w:rPr>
          <w:rFonts w:hint="eastAsia" w:ascii="仿宋_GB2312" w:hAnsi="仿宋_GB2312" w:eastAsia="仿宋_GB2312" w:cs="仿宋_GB2312"/>
          <w:color w:val="000000"/>
          <w:sz w:val="32"/>
          <w:szCs w:val="32"/>
          <w:lang w:eastAsia="zh-CN"/>
        </w:rPr>
        <w:t>需</w:t>
      </w:r>
      <w:r>
        <w:rPr>
          <w:rFonts w:hint="eastAsia" w:ascii="仿宋_GB2312" w:hAnsi="仿宋_GB2312" w:eastAsia="仿宋_GB2312" w:cs="仿宋_GB2312"/>
          <w:color w:val="000000"/>
          <w:sz w:val="32"/>
          <w:szCs w:val="32"/>
        </w:rPr>
        <w:t>提供出厂检验报告。</w:t>
      </w:r>
      <w:r>
        <w:rPr>
          <w:rFonts w:hint="eastAsia" w:ascii="仿宋_GB2312" w:hAnsi="仿宋_GB2312" w:eastAsia="仿宋_GB2312" w:cs="仿宋_GB2312"/>
          <w:color w:val="000000"/>
          <w:sz w:val="32"/>
          <w:szCs w:val="32"/>
          <w:lang w:eastAsia="zh-CN"/>
        </w:rPr>
        <w:t>生鲜类商品</w:t>
      </w:r>
      <w:r>
        <w:rPr>
          <w:rFonts w:hint="eastAsia" w:ascii="仿宋_GB2312" w:hAnsi="仿宋_GB2312" w:eastAsia="仿宋_GB2312" w:cs="仿宋_GB2312"/>
          <w:color w:val="000000"/>
          <w:sz w:val="32"/>
          <w:szCs w:val="32"/>
        </w:rPr>
        <w:t>质量</w:t>
      </w:r>
      <w:r>
        <w:rPr>
          <w:rFonts w:hint="eastAsia" w:ascii="仿宋_GB2312" w:hAnsi="仿宋_GB2312" w:eastAsia="仿宋_GB2312" w:cs="仿宋_GB2312"/>
          <w:color w:val="000000"/>
          <w:sz w:val="32"/>
          <w:szCs w:val="32"/>
          <w:lang w:eastAsia="zh-CN"/>
        </w:rPr>
        <w:t>需</w:t>
      </w:r>
      <w:r>
        <w:rPr>
          <w:rFonts w:hint="eastAsia" w:ascii="仿宋_GB2312" w:hAnsi="仿宋_GB2312" w:eastAsia="仿宋_GB2312" w:cs="仿宋_GB2312"/>
          <w:color w:val="000000"/>
          <w:sz w:val="32"/>
          <w:szCs w:val="32"/>
        </w:rPr>
        <w:t>符合国家标准、行业标准；无国家标准、行业标准的，可执行地方标准、经备案的企业标准。</w:t>
      </w:r>
      <w:r>
        <w:rPr>
          <w:rFonts w:hint="eastAsia" w:ascii="仿宋_GB2312" w:hAnsi="仿宋_GB2312" w:eastAsia="仿宋_GB2312" w:cs="仿宋_GB2312"/>
          <w:b w:val="0"/>
          <w:bCs w:val="0"/>
          <w:sz w:val="32"/>
          <w:szCs w:val="32"/>
          <w:highlight w:val="none"/>
          <w:lang w:val="en-US" w:eastAsia="zh-CN"/>
        </w:rPr>
        <w:t>生鲜类商品需按季度提供第三方《质量检测报告》。</w:t>
      </w:r>
    </w:p>
    <w:p w14:paraId="077A9D89">
      <w:pPr>
        <w:pStyle w:val="7"/>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640" w:firstLineChars="200"/>
        <w:jc w:val="both"/>
        <w:textAlignment w:val="auto"/>
        <w:rPr>
          <w:rFonts w:hint="eastAsia" w:ascii="仿宋_GB2312" w:hAnsi="仿宋_GB2312" w:eastAsia="仿宋_GB2312" w:cs="仿宋_GB2312"/>
          <w:b w:val="0"/>
          <w:bCs w:val="0"/>
          <w:sz w:val="32"/>
          <w:szCs w:val="32"/>
          <w:highlight w:val="none"/>
          <w:u w:val="none"/>
          <w:lang w:val="en-US" w:eastAsia="zh-CN"/>
        </w:rPr>
      </w:pPr>
      <w:r>
        <w:rPr>
          <w:rFonts w:hint="eastAsia" w:ascii="仿宋_GB2312" w:hAnsi="仿宋_GB2312" w:eastAsia="仿宋_GB2312" w:cs="仿宋_GB2312"/>
          <w:highlight w:val="none"/>
        </w:rPr>
        <w:drawing>
          <wp:anchor distT="0" distB="0" distL="114300" distR="114300" simplePos="0" relativeHeight="251661312" behindDoc="0" locked="0" layoutInCell="1" allowOverlap="1">
            <wp:simplePos x="0" y="0"/>
            <wp:positionH relativeFrom="column">
              <wp:posOffset>4080510</wp:posOffset>
            </wp:positionH>
            <wp:positionV relativeFrom="paragraph">
              <wp:posOffset>1133475</wp:posOffset>
            </wp:positionV>
            <wp:extent cx="1477010" cy="1296670"/>
            <wp:effectExtent l="0" t="0" r="8890" b="11430"/>
            <wp:wrapSquare wrapText="bothSides"/>
            <wp:docPr id="3" name="图片 4"/>
            <wp:cNvGraphicFramePr/>
            <a:graphic xmlns:a="http://schemas.openxmlformats.org/drawingml/2006/main">
              <a:graphicData uri="http://schemas.openxmlformats.org/drawingml/2006/picture">
                <pic:pic xmlns:pic="http://schemas.openxmlformats.org/drawingml/2006/picture">
                  <pic:nvPicPr>
                    <pic:cNvPr id="3" name="图片 4"/>
                    <pic:cNvPicPr/>
                  </pic:nvPicPr>
                  <pic:blipFill>
                    <a:blip r:embed="rId5"/>
                    <a:stretch>
                      <a:fillRect/>
                    </a:stretch>
                  </pic:blipFill>
                  <pic:spPr>
                    <a:xfrm>
                      <a:off x="0" y="0"/>
                      <a:ext cx="1477010" cy="1296670"/>
                    </a:xfrm>
                    <a:prstGeom prst="rect">
                      <a:avLst/>
                    </a:prstGeom>
                    <a:noFill/>
                    <a:ln>
                      <a:noFill/>
                    </a:ln>
                  </pic:spPr>
                </pic:pic>
              </a:graphicData>
            </a:graphic>
          </wp:anchor>
        </w:drawing>
      </w:r>
      <w:r>
        <w:rPr>
          <w:rFonts w:hint="eastAsia" w:hAnsi="仿宋_GB2312" w:cs="仿宋_GB2312"/>
          <w:color w:val="000000"/>
          <w:kern w:val="2"/>
          <w:sz w:val="32"/>
          <w:szCs w:val="32"/>
          <w:u w:val="none"/>
          <w:lang w:val="en-US" w:eastAsia="zh-CN" w:bidi="ar-SA"/>
        </w:rPr>
        <w:t>（2）</w:t>
      </w:r>
      <w:r>
        <w:rPr>
          <w:rFonts w:hint="eastAsia" w:ascii="仿宋_GB2312" w:hAnsi="仿宋_GB2312" w:eastAsia="仿宋_GB2312" w:cs="仿宋_GB2312"/>
          <w:color w:val="000000"/>
          <w:kern w:val="2"/>
          <w:sz w:val="32"/>
          <w:szCs w:val="32"/>
          <w:u w:val="none"/>
          <w:lang w:val="en-US" w:eastAsia="zh-CN" w:bidi="ar-SA"/>
        </w:rPr>
        <w:t>粮油调味、</w:t>
      </w:r>
      <w:r>
        <w:rPr>
          <w:rFonts w:hint="eastAsia" w:hAnsi="仿宋_GB2312" w:cs="仿宋_GB2312"/>
          <w:color w:val="000000"/>
          <w:kern w:val="2"/>
          <w:sz w:val="32"/>
          <w:szCs w:val="32"/>
          <w:u w:val="none"/>
          <w:lang w:val="en-US" w:eastAsia="zh-CN" w:bidi="ar-SA"/>
        </w:rPr>
        <w:t>乳品烘焙（不含低温奶）</w:t>
      </w:r>
      <w:r>
        <w:rPr>
          <w:rFonts w:hint="eastAsia" w:ascii="仿宋_GB2312" w:hAnsi="仿宋_GB2312" w:eastAsia="仿宋_GB2312" w:cs="仿宋_GB2312"/>
          <w:color w:val="000000"/>
          <w:kern w:val="2"/>
          <w:sz w:val="32"/>
          <w:szCs w:val="32"/>
          <w:u w:val="none"/>
          <w:lang w:val="en-US" w:eastAsia="zh-CN" w:bidi="ar-SA"/>
        </w:rPr>
        <w:t>、熟食冻品、休闲零食、水饮冲调</w:t>
      </w:r>
      <w:r>
        <w:rPr>
          <w:rFonts w:hint="eastAsia" w:hAnsi="仿宋_GB2312" w:cs="仿宋_GB2312"/>
          <w:color w:val="000000"/>
          <w:kern w:val="2"/>
          <w:sz w:val="32"/>
          <w:szCs w:val="32"/>
          <w:u w:val="none"/>
          <w:lang w:val="en-US" w:eastAsia="zh-CN" w:bidi="ar-SA"/>
        </w:rPr>
        <w:t>及</w:t>
      </w:r>
      <w:r>
        <w:rPr>
          <w:rFonts w:hint="eastAsia" w:ascii="仿宋_GB2312" w:hAnsi="仿宋_GB2312" w:eastAsia="仿宋_GB2312" w:cs="仿宋_GB2312"/>
          <w:color w:val="000000"/>
          <w:kern w:val="2"/>
          <w:sz w:val="32"/>
          <w:szCs w:val="32"/>
          <w:u w:val="none"/>
          <w:lang w:val="en-US" w:eastAsia="zh-CN" w:bidi="ar-SA"/>
        </w:rPr>
        <w:t>纸品家清品类商品需符合国家标准、行业标准；无国家标准、行业标准的，可执行地方标准、经备案的企业标准。需按月提供对应批次《合格证书》。</w:t>
      </w:r>
      <w:r>
        <w:rPr>
          <w:rFonts w:hint="eastAsia" w:ascii="仿宋_GB2312" w:hAnsi="仿宋_GB2312" w:eastAsia="仿宋_GB2312" w:cs="仿宋_GB2312"/>
          <w:b w:val="0"/>
          <w:bCs w:val="0"/>
          <w:sz w:val="32"/>
          <w:szCs w:val="32"/>
          <w:highlight w:val="none"/>
          <w:u w:val="none"/>
          <w:lang w:val="en-US" w:eastAsia="zh-CN"/>
        </w:rPr>
        <w:t xml:space="preserve"> </w:t>
      </w:r>
    </w:p>
    <w:p w14:paraId="18D54944">
      <w:pPr>
        <w:pStyle w:val="7"/>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640" w:firstLineChars="200"/>
        <w:jc w:val="both"/>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2.绿色有机及溯源食品专区</w:t>
      </w:r>
    </w:p>
    <w:p w14:paraId="5BA96FC8">
      <w:pPr>
        <w:keepNext w:val="0"/>
        <w:keepLines w:val="0"/>
        <w:pageBreakBefore w:val="0"/>
        <w:widowControl w:val="0"/>
        <w:kinsoku/>
        <w:wordWrap/>
        <w:overflowPunct/>
        <w:topLinePunct w:val="0"/>
        <w:autoSpaceDE/>
        <w:autoSpaceDN/>
        <w:bidi w:val="0"/>
        <w:adjustRightInd/>
        <w:snapToGrid/>
        <w:spacing w:line="480" w:lineRule="exact"/>
        <w:ind w:left="0" w:leftChars="0" w:firstLine="64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（1）蔬菜水果类</w:t>
      </w:r>
      <w:r>
        <w:rPr>
          <w:rFonts w:hint="eastAsia" w:ascii="仿宋_GB2312" w:hAnsi="仿宋_GB2312" w:eastAsia="仿宋_GB2312" w:cs="仿宋_GB2312"/>
          <w:b w:val="0"/>
          <w:bCs w:val="0"/>
          <w:sz w:val="32"/>
          <w:szCs w:val="32"/>
          <w:highlight w:val="none"/>
          <w:lang w:val="en-US" w:eastAsia="zh-CN"/>
        </w:rPr>
        <w:t>商品：</w:t>
      </w:r>
      <w:r>
        <w:rPr>
          <w:rFonts w:hint="eastAsia" w:ascii="仿宋_GB2312" w:hAnsi="仿宋_GB2312" w:eastAsia="仿宋_GB2312" w:cs="仿宋_GB2312"/>
          <w:b w:val="0"/>
          <w:bCs w:val="0"/>
          <w:sz w:val="32"/>
          <w:szCs w:val="32"/>
          <w:lang w:val="en-US" w:eastAsia="zh-CN"/>
        </w:rPr>
        <w:t>具备《绿色食品标志》或《有机食品标志》或《有机产品认证证书》。</w:t>
      </w:r>
    </w:p>
    <w:p w14:paraId="6FE7ED5B">
      <w:pPr>
        <w:pStyle w:val="7"/>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highlight w:val="none"/>
        </w:rPr>
        <w:drawing>
          <wp:anchor distT="0" distB="0" distL="114300" distR="114300" simplePos="0" relativeHeight="251660288" behindDoc="0" locked="0" layoutInCell="1" allowOverlap="1">
            <wp:simplePos x="0" y="0"/>
            <wp:positionH relativeFrom="column">
              <wp:posOffset>3993515</wp:posOffset>
            </wp:positionH>
            <wp:positionV relativeFrom="paragraph">
              <wp:posOffset>33655</wp:posOffset>
            </wp:positionV>
            <wp:extent cx="1311275" cy="1171575"/>
            <wp:effectExtent l="0" t="0" r="9525" b="9525"/>
            <wp:wrapSquare wrapText="bothSides"/>
            <wp:docPr id="7" name="图片 3"/>
            <wp:cNvGraphicFramePr/>
            <a:graphic xmlns:a="http://schemas.openxmlformats.org/drawingml/2006/main">
              <a:graphicData uri="http://schemas.openxmlformats.org/drawingml/2006/picture">
                <pic:pic xmlns:pic="http://schemas.openxmlformats.org/drawingml/2006/picture">
                  <pic:nvPicPr>
                    <pic:cNvPr id="7" name="图片 3"/>
                    <pic:cNvPicPr/>
                  </pic:nvPicPr>
                  <pic:blipFill>
                    <a:blip r:embed="rId6"/>
                    <a:stretch>
                      <a:fillRect/>
                    </a:stretch>
                  </pic:blipFill>
                  <pic:spPr>
                    <a:xfrm>
                      <a:off x="0" y="0"/>
                      <a:ext cx="1311275" cy="1171575"/>
                    </a:xfrm>
                    <a:prstGeom prst="rect">
                      <a:avLst/>
                    </a:prstGeom>
                    <a:noFill/>
                    <a:ln>
                      <a:noFill/>
                    </a:ln>
                  </pic:spPr>
                </pic:pic>
              </a:graphicData>
            </a:graphic>
          </wp:anchor>
        </w:drawing>
      </w:r>
      <w:r>
        <w:rPr>
          <w:rFonts w:hint="eastAsia" w:hAnsi="仿宋_GB2312" w:cs="仿宋_GB2312"/>
          <w:highlight w:val="none"/>
          <w:lang w:eastAsia="zh-CN"/>
        </w:rPr>
        <w:t>（</w:t>
      </w:r>
      <w:r>
        <w:rPr>
          <w:rFonts w:hint="eastAsia" w:hAnsi="仿宋_GB2312" w:cs="仿宋_GB2312"/>
          <w:highlight w:val="none"/>
          <w:lang w:val="en-US" w:eastAsia="zh-CN"/>
        </w:rPr>
        <w:t>2</w:t>
      </w:r>
      <w:r>
        <w:rPr>
          <w:rFonts w:hint="eastAsia" w:hAnsi="仿宋_GB2312" w:cs="仿宋_GB2312"/>
          <w:highlight w:val="none"/>
          <w:lang w:eastAsia="zh-CN"/>
        </w:rPr>
        <w:t>）</w:t>
      </w:r>
      <w:r>
        <w:rPr>
          <w:rFonts w:hint="eastAsia" w:ascii="仿宋_GB2312" w:hAnsi="仿宋_GB2312" w:eastAsia="仿宋_GB2312" w:cs="仿宋_GB2312"/>
          <w:b w:val="0"/>
          <w:bCs w:val="0"/>
          <w:sz w:val="32"/>
          <w:szCs w:val="32"/>
          <w:highlight w:val="none"/>
          <w:lang w:val="en-US" w:eastAsia="zh-CN"/>
        </w:rPr>
        <w:t>水产类商品：具备</w:t>
      </w:r>
      <w:r>
        <w:rPr>
          <w:rFonts w:hint="eastAsia" w:ascii="仿宋_GB2312" w:hAnsi="仿宋_GB2312" w:eastAsia="仿宋_GB2312" w:cs="仿宋_GB2312"/>
          <w:b w:val="0"/>
          <w:bCs w:val="0"/>
          <w:sz w:val="32"/>
          <w:szCs w:val="32"/>
          <w:lang w:val="en-US" w:eastAsia="zh-CN"/>
        </w:rPr>
        <w:t>《无公害产品证书》或《产地认定证书》或《有机产品认证证书》，需提供《检测报告》，《检测报告》中注明相关检测指标符合农业部相关公告。</w:t>
      </w:r>
    </w:p>
    <w:p w14:paraId="626F5850">
      <w:pPr>
        <w:pStyle w:val="7"/>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hAnsi="仿宋_GB2312" w:cs="仿宋_GB2312"/>
          <w:b w:val="0"/>
          <w:bCs w:val="0"/>
          <w:sz w:val="32"/>
          <w:szCs w:val="32"/>
          <w:lang w:val="en-US" w:eastAsia="zh-CN"/>
        </w:rPr>
        <w:t>（2）</w:t>
      </w:r>
      <w:r>
        <w:rPr>
          <w:rFonts w:hint="eastAsia" w:ascii="仿宋_GB2312" w:hAnsi="仿宋_GB2312" w:eastAsia="仿宋_GB2312" w:cs="仿宋_GB2312"/>
          <w:b w:val="0"/>
          <w:bCs w:val="0"/>
          <w:sz w:val="32"/>
          <w:szCs w:val="32"/>
          <w:lang w:val="en-US" w:eastAsia="zh-CN"/>
        </w:rPr>
        <w:t>鸡蛋及家禽类：需提供《检测报告》，鸡蛋类在《检测报告》中注明相关检测指标符合农业部相关公告。</w:t>
      </w:r>
    </w:p>
    <w:p w14:paraId="5E1F77F7">
      <w:pPr>
        <w:pStyle w:val="7"/>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hAnsi="仿宋_GB2312" w:cs="仿宋_GB2312"/>
          <w:b w:val="0"/>
          <w:bCs w:val="0"/>
          <w:sz w:val="32"/>
          <w:szCs w:val="32"/>
          <w:lang w:val="en-US" w:eastAsia="zh-CN"/>
        </w:rPr>
        <w:t>（3）</w:t>
      </w:r>
      <w:r>
        <w:rPr>
          <w:rFonts w:hint="eastAsia" w:ascii="仿宋_GB2312" w:hAnsi="仿宋_GB2312" w:eastAsia="仿宋_GB2312" w:cs="仿宋_GB2312"/>
          <w:b w:val="0"/>
          <w:bCs w:val="0"/>
          <w:sz w:val="32"/>
          <w:szCs w:val="32"/>
          <w:lang w:val="en-US" w:eastAsia="zh-CN"/>
        </w:rPr>
        <w:t>牛肉及猪肉类：具备追溯码、《肉品品质检验合格证》、《动物检疫合格证》。</w:t>
      </w:r>
    </w:p>
    <w:p w14:paraId="035F211E">
      <w:pPr>
        <w:pStyle w:val="2"/>
        <w:keepNext w:val="0"/>
        <w:keepLines w:val="0"/>
        <w:pageBreakBefore w:val="0"/>
        <w:widowControl w:val="0"/>
        <w:numPr>
          <w:ilvl w:val="0"/>
          <w:numId w:val="0"/>
        </w:numPr>
        <w:kinsoku/>
        <w:wordWrap/>
        <w:overflowPunct/>
        <w:topLinePunct w:val="0"/>
        <w:autoSpaceDE/>
        <w:autoSpaceDN/>
        <w:bidi w:val="0"/>
        <w:adjustRightInd/>
        <w:snapToGrid/>
        <w:spacing w:after="0" w:line="480" w:lineRule="exact"/>
        <w:ind w:firstLine="643" w:firstLineChars="200"/>
        <w:jc w:val="both"/>
        <w:textAlignment w:val="auto"/>
        <w:rPr>
          <w:rFonts w:hint="eastAsia" w:ascii="楷体_GB2312" w:hAnsi="楷体_GB2312" w:eastAsia="楷体_GB2312" w:cs="楷体_GB2312"/>
          <w:b/>
          <w:bCs/>
          <w:color w:val="auto"/>
          <w:sz w:val="32"/>
          <w:szCs w:val="32"/>
          <w:lang w:val="en-US" w:eastAsia="zh-CN"/>
        </w:rPr>
      </w:pPr>
      <w:r>
        <w:rPr>
          <w:rFonts w:hint="eastAsia" w:ascii="楷体_GB2312" w:hAnsi="楷体_GB2312" w:eastAsia="楷体_GB2312" w:cs="楷体_GB2312"/>
          <w:b/>
          <w:bCs/>
          <w:color w:val="auto"/>
          <w:sz w:val="32"/>
          <w:szCs w:val="32"/>
          <w:lang w:val="en-US" w:eastAsia="zh-CN"/>
        </w:rPr>
        <w:t>（二）商品基准定价要求</w:t>
      </w:r>
    </w:p>
    <w:p w14:paraId="32C23B76">
      <w:pPr>
        <w:pStyle w:val="2"/>
        <w:keepNext w:val="0"/>
        <w:keepLines w:val="0"/>
        <w:pageBreakBefore w:val="0"/>
        <w:widowControl w:val="0"/>
        <w:numPr>
          <w:ilvl w:val="0"/>
          <w:numId w:val="0"/>
        </w:numPr>
        <w:kinsoku/>
        <w:wordWrap/>
        <w:overflowPunct/>
        <w:topLinePunct w:val="0"/>
        <w:autoSpaceDE/>
        <w:autoSpaceDN/>
        <w:bidi w:val="0"/>
        <w:adjustRightInd/>
        <w:snapToGrid/>
        <w:spacing w:after="0" w:line="480" w:lineRule="exact"/>
        <w:ind w:firstLine="640" w:firstLineChars="200"/>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sz w:val="32"/>
          <w:szCs w:val="32"/>
          <w:u w:val="none"/>
          <w:lang w:val="en-US" w:eastAsia="zh-CN"/>
        </w:rPr>
        <w:t>“基准定价要求”指合作商为贵阳农村商业银行股份有限公司（以下简称“贵阳农商银行”）平台客户提供的低于市场价格的优惠权益。</w:t>
      </w:r>
      <w:r>
        <w:rPr>
          <w:rFonts w:hint="eastAsia" w:ascii="仿宋_GB2312" w:hAnsi="仿宋_GB2312" w:eastAsia="仿宋_GB2312" w:cs="仿宋_GB2312"/>
          <w:color w:val="auto"/>
          <w:sz w:val="32"/>
          <w:szCs w:val="32"/>
          <w:u w:val="none"/>
          <w:lang w:val="en-US" w:eastAsia="zh-CN"/>
        </w:rPr>
        <w:t>合作商在“超值购·生活馆”中上架商品的合作价格为包干价，包含但不限于：基础配送服务、商品运营、售后服务、商品采购、商品货物价值、技术支持等费用，上架商品服务价格确定标准如下：</w:t>
      </w:r>
    </w:p>
    <w:p w14:paraId="685E50A7">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合作商按照各品类分别给予下浮率报价，本项目的下浮率是合作期内合作商承诺的固定优惠率。水果蔬菜、肉禽鱼蛋、低温奶、海鲜水产和绿色食品，根据贵阳市内中大型规模的超市（如沃尔玛、永辉、星力、北京华联、合力）的平均价格（去掉一个最高价格和最低价格之后的平均价格）作为基准定价；粮油调味、乳品烘焙（不含低温奶）、熟食冻品、休闲零食、水饮冲调和纸品家清根据京东自营、天猫电商旗舰店报价中两者平均价格作为基准定价</w:t>
      </w:r>
      <w:r>
        <w:rPr>
          <w:rFonts w:hint="eastAsia" w:ascii="仿宋_GB2312" w:hAnsi="仿宋_GB2312" w:eastAsia="仿宋_GB2312" w:cs="仿宋_GB2312"/>
          <w:color w:val="auto"/>
          <w:sz w:val="32"/>
          <w:szCs w:val="32"/>
          <w:u w:val="none"/>
          <w:lang w:val="en-US" w:eastAsia="zh-CN"/>
        </w:rPr>
        <w:t>。合作商所有品类下浮率报价最少下浮5%（含）。基准定价×(1-</w:t>
      </w:r>
      <w:r>
        <w:rPr>
          <w:rFonts w:hint="eastAsia" w:ascii="仿宋_GB2312" w:hAnsi="仿宋_GB2312" w:eastAsia="仿宋_GB2312" w:cs="仿宋_GB2312"/>
          <w:color w:val="auto"/>
          <w:sz w:val="32"/>
          <w:szCs w:val="32"/>
          <w:lang w:val="en-US" w:eastAsia="zh-CN"/>
        </w:rPr>
        <w:t>下浮率)=最终合作价。</w:t>
      </w:r>
    </w:p>
    <w:p w14:paraId="40E0C6FA">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2.在合作期内如有新品类的商品，双方协商之后，根据</w:t>
      </w:r>
      <w:r>
        <w:rPr>
          <w:rFonts w:hint="eastAsia" w:ascii="仿宋_GB2312" w:hAnsi="仿宋_GB2312" w:eastAsia="仿宋_GB2312" w:cs="仿宋_GB2312"/>
          <w:color w:val="auto"/>
          <w:sz w:val="32"/>
          <w:szCs w:val="32"/>
          <w:u w:val="none"/>
          <w:lang w:val="en-US" w:eastAsia="zh-CN"/>
        </w:rPr>
        <w:t>贵阳农商银行审核通过后方可上架销售</w:t>
      </w:r>
      <w:r>
        <w:rPr>
          <w:rFonts w:hint="eastAsia" w:ascii="仿宋_GB2312" w:hAnsi="仿宋_GB2312" w:eastAsia="仿宋_GB2312" w:cs="仿宋_GB2312"/>
          <w:color w:val="auto"/>
          <w:sz w:val="32"/>
          <w:szCs w:val="32"/>
          <w:lang w:val="en-US" w:eastAsia="zh-CN"/>
        </w:rPr>
        <w:t>，且销售价格不得高于按照前述方式确定的最终合作价。</w:t>
      </w:r>
    </w:p>
    <w:p w14:paraId="70D91467">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3.若上架商品询价时只能在其中一个平台找到对标物品的，就以该平台的价格作为基准定价，如所有平台都无法找到对标物品进行询价时，双方协商之后，根据贵阳农商银行审核通过后方可上架销售。  </w:t>
      </w:r>
    </w:p>
    <w:p w14:paraId="348B59F1">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4.基准定价根据实际情况进行变动，已上架商品的最终合作价每月根据上述商超平台的基准定价进行实时调整，如已上架商品的最终合作价高于贵阳农商银行不定期询价折算价格（按照下浮率确定的价格）时，商品自动下架，待合作商调整价格符合要求后，方可上架；如已上架商品的最终合作价低于贵阳农商银行不定期询价折算价格（按照下浮率确定的价格）时，可不作调整。 </w:t>
      </w:r>
    </w:p>
    <w:p w14:paraId="62CB5AAF">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i w:val="0"/>
          <w:iCs w:val="0"/>
          <w:color w:val="auto"/>
          <w:sz w:val="32"/>
          <w:szCs w:val="32"/>
          <w:highlight w:val="none"/>
          <w:u w:val="none"/>
          <w:lang w:val="en-US" w:eastAsia="zh-CN"/>
        </w:rPr>
      </w:pPr>
      <w:r>
        <w:rPr>
          <w:rFonts w:hint="eastAsia" w:ascii="仿宋_GB2312" w:hAnsi="仿宋_GB2312" w:eastAsia="仿宋_GB2312" w:cs="仿宋_GB2312"/>
          <w:i w:val="0"/>
          <w:iCs w:val="0"/>
          <w:color w:val="auto"/>
          <w:sz w:val="32"/>
          <w:szCs w:val="32"/>
          <w:highlight w:val="none"/>
          <w:u w:val="none"/>
          <w:lang w:val="en-US" w:eastAsia="zh-CN"/>
        </w:rPr>
        <w:t>5.合作商应设立商品比价系统，定期开展比价工作，具体如下：</w:t>
      </w:r>
    </w:p>
    <w:p w14:paraId="0E063617">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i w:val="0"/>
          <w:iCs w:val="0"/>
          <w:color w:val="auto"/>
          <w:sz w:val="32"/>
          <w:szCs w:val="32"/>
          <w:highlight w:val="none"/>
          <w:u w:val="none"/>
          <w:lang w:val="en-US" w:eastAsia="zh-CN"/>
        </w:rPr>
      </w:pPr>
      <w:r>
        <w:rPr>
          <w:rFonts w:hint="eastAsia" w:ascii="仿宋_GB2312" w:hAnsi="仿宋_GB2312" w:eastAsia="仿宋_GB2312" w:cs="仿宋_GB2312"/>
          <w:i w:val="0"/>
          <w:iCs w:val="0"/>
          <w:color w:val="auto"/>
          <w:sz w:val="32"/>
          <w:szCs w:val="32"/>
          <w:highlight w:val="none"/>
          <w:u w:val="none"/>
          <w:lang w:val="en-US" w:eastAsia="zh-CN"/>
        </w:rPr>
        <w:t>（1）对于水果蔬菜、肉禽鱼蛋、低温奶、海鲜水产和绿色食品品类商品至少每月安排专人在贵阳市内中大型规模的超市（如沃尔玛、永辉、星力、北京华联、合力）对已上架商品或新上架商品进行价格比对，并将比价信息发送给贵阳农商银行备案，如发现上述5个商超对已上架商品进行价格调整的，合作商应及时告知贵阳农商银行，且提供相应佐证材料，贵阳农商银行将核实上述5个商超的价格，且以重新计算的平均价格（去掉一个最高价格和最低价格后的平均价格）作为基准价格，若重新上架商品只能在上述5个商超其中一个平台找到对标物进行询价时，就以该平台的价格作为基准价格，如所有平台都无法找到对标物进行询价时，双方协商之后，根据</w:t>
      </w:r>
      <w:r>
        <w:rPr>
          <w:rFonts w:hint="eastAsia" w:ascii="仿宋_GB2312" w:hAnsi="仿宋_GB2312" w:eastAsia="仿宋_GB2312" w:cs="仿宋_GB2312"/>
          <w:bCs/>
          <w:color w:val="auto"/>
          <w:sz w:val="32"/>
          <w:szCs w:val="32"/>
          <w:lang w:val="en-US" w:eastAsia="zh-CN"/>
        </w:rPr>
        <w:t>贵阳农商银行</w:t>
      </w:r>
      <w:r>
        <w:rPr>
          <w:rFonts w:hint="eastAsia" w:ascii="仿宋_GB2312" w:hAnsi="仿宋_GB2312" w:eastAsia="仿宋_GB2312" w:cs="仿宋_GB2312"/>
          <w:i w:val="0"/>
          <w:iCs w:val="0"/>
          <w:color w:val="auto"/>
          <w:sz w:val="32"/>
          <w:szCs w:val="32"/>
          <w:highlight w:val="none"/>
          <w:u w:val="none"/>
          <w:lang w:val="en-US" w:eastAsia="zh-CN"/>
        </w:rPr>
        <w:t>审核通过后方可上架销售。</w:t>
      </w:r>
    </w:p>
    <w:p w14:paraId="621A4D28">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i w:val="0"/>
          <w:iCs w:val="0"/>
          <w:color w:val="auto"/>
          <w:sz w:val="32"/>
          <w:szCs w:val="32"/>
          <w:highlight w:val="none"/>
          <w:u w:val="none"/>
          <w:lang w:val="en-US" w:eastAsia="zh-CN"/>
        </w:rPr>
      </w:pPr>
      <w:r>
        <w:rPr>
          <w:rFonts w:hint="eastAsia" w:ascii="仿宋_GB2312" w:hAnsi="仿宋_GB2312" w:eastAsia="仿宋_GB2312" w:cs="仿宋_GB2312"/>
          <w:i w:val="0"/>
          <w:iCs w:val="0"/>
          <w:color w:val="auto"/>
          <w:sz w:val="32"/>
          <w:szCs w:val="32"/>
          <w:highlight w:val="none"/>
          <w:u w:val="none"/>
          <w:lang w:val="en-US" w:eastAsia="zh-CN"/>
        </w:rPr>
        <w:t>（2）粮油调味、乳品烘焙（不含低温奶）、熟食冻品、休闲零食、水饮冲调及纸品家清品类商品至少每月安排专人在京东自营、天猫电商旗舰店平台上对已上架商品或新上架商品进行价格比对，并将比价信息发送给贵阳农商银行备案，如发现上述两个电商平台对已上架商品进行价格调整的，合作商应及时告知贵阳农商银行，且提供相应佐证材料，贵阳农商银行将核实上述两个电商平台的价格，且重新计算两者平均价格作为基准价格，若重新上架商品只能在上述两个电商平台中一个平台找到对标物进行询价时，就以该平台的价格作为基准价格，如两个电商平台都无法找到对标物进行询价时，双方协商之后，根据</w:t>
      </w:r>
      <w:r>
        <w:rPr>
          <w:rFonts w:hint="eastAsia" w:ascii="仿宋_GB2312" w:hAnsi="仿宋_GB2312" w:eastAsia="仿宋_GB2312" w:cs="仿宋_GB2312"/>
          <w:bCs/>
          <w:color w:val="auto"/>
          <w:sz w:val="32"/>
          <w:szCs w:val="32"/>
          <w:lang w:val="en-US" w:eastAsia="zh-CN"/>
        </w:rPr>
        <w:t>贵阳农商银行</w:t>
      </w:r>
      <w:r>
        <w:rPr>
          <w:rFonts w:hint="eastAsia" w:ascii="仿宋_GB2312" w:hAnsi="仿宋_GB2312" w:eastAsia="仿宋_GB2312" w:cs="仿宋_GB2312"/>
          <w:i w:val="0"/>
          <w:iCs w:val="0"/>
          <w:color w:val="auto"/>
          <w:sz w:val="32"/>
          <w:szCs w:val="32"/>
          <w:highlight w:val="none"/>
          <w:u w:val="none"/>
          <w:lang w:val="en-US" w:eastAsia="zh-CN"/>
        </w:rPr>
        <w:t>审核通过后方可上架销售。</w:t>
      </w:r>
    </w:p>
    <w:p w14:paraId="120BFFD9">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6.其他说明</w:t>
      </w:r>
    </w:p>
    <w:p w14:paraId="1A966317">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（1）上述商品合作报价均不包含京东自营、天猫电商旗舰店及贵阳市内中大型规模的超市开展相关活动的促销价格及临近商品的价格。</w:t>
      </w:r>
    </w:p>
    <w:p w14:paraId="3CFE1125">
      <w:pPr>
        <w:pStyle w:val="7"/>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640" w:firstLineChars="200"/>
        <w:jc w:val="both"/>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hAnsi="仿宋_GB2312" w:cs="仿宋_GB2312"/>
          <w:b w:val="0"/>
          <w:bCs w:val="0"/>
          <w:color w:val="auto"/>
          <w:sz w:val="32"/>
          <w:szCs w:val="32"/>
          <w:highlight w:val="none"/>
          <w:u w:val="none"/>
          <w:lang w:val="en-US" w:eastAsia="zh-CN"/>
        </w:rPr>
        <w:t>（2）</w:t>
      </w:r>
      <w:r>
        <w:rPr>
          <w:rFonts w:hint="eastAsia" w:ascii="仿宋_GB2312" w:hAnsi="仿宋_GB2312" w:eastAsia="仿宋_GB2312" w:cs="仿宋_GB2312"/>
          <w:b w:val="0"/>
          <w:bCs w:val="0"/>
          <w:color w:val="auto"/>
          <w:sz w:val="32"/>
          <w:szCs w:val="32"/>
          <w:highlight w:val="none"/>
          <w:u w:val="none"/>
          <w:lang w:val="en-US" w:eastAsia="zh-CN"/>
        </w:rPr>
        <w:t>药品、保健药品、医疗器械品、美妆护肤、家纺服饰、宠物用品、家居家电、电子产品、酒类及其他法律法规</w:t>
      </w:r>
      <w:r>
        <w:rPr>
          <w:rFonts w:hint="eastAsia" w:hAnsi="仿宋_GB2312" w:cs="仿宋_GB2312"/>
          <w:b w:val="0"/>
          <w:bCs w:val="0"/>
          <w:color w:val="auto"/>
          <w:sz w:val="32"/>
          <w:szCs w:val="32"/>
          <w:highlight w:val="none"/>
          <w:u w:val="none"/>
          <w:lang w:val="en-US" w:eastAsia="zh-CN"/>
        </w:rPr>
        <w:t>规定</w:t>
      </w:r>
      <w:r>
        <w:rPr>
          <w:rFonts w:hint="eastAsia" w:ascii="仿宋_GB2312" w:hAnsi="仿宋_GB2312" w:eastAsia="仿宋_GB2312" w:cs="仿宋_GB2312"/>
          <w:b w:val="0"/>
          <w:bCs w:val="0"/>
          <w:color w:val="auto"/>
          <w:sz w:val="32"/>
          <w:szCs w:val="32"/>
          <w:highlight w:val="none"/>
          <w:u w:val="none"/>
          <w:lang w:val="en-US" w:eastAsia="zh-CN"/>
        </w:rPr>
        <w:t>不得销售的商品不在</w:t>
      </w:r>
      <w:r>
        <w:rPr>
          <w:rFonts w:hint="eastAsia" w:hAnsi="仿宋_GB2312" w:cs="仿宋_GB2312"/>
          <w:b w:val="0"/>
          <w:bCs w:val="0"/>
          <w:color w:val="auto"/>
          <w:sz w:val="32"/>
          <w:szCs w:val="32"/>
          <w:highlight w:val="none"/>
          <w:u w:val="none"/>
          <w:lang w:val="en-US" w:eastAsia="zh-CN"/>
        </w:rPr>
        <w:t>商品</w:t>
      </w:r>
      <w:r>
        <w:rPr>
          <w:rFonts w:hint="eastAsia" w:ascii="仿宋_GB2312" w:hAnsi="仿宋_GB2312" w:eastAsia="仿宋_GB2312" w:cs="仿宋_GB2312"/>
          <w:b w:val="0"/>
          <w:bCs w:val="0"/>
          <w:color w:val="auto"/>
          <w:sz w:val="32"/>
          <w:szCs w:val="32"/>
          <w:highlight w:val="none"/>
          <w:u w:val="none"/>
          <w:lang w:val="en-US" w:eastAsia="zh-CN"/>
        </w:rPr>
        <w:t>范围内。</w:t>
      </w:r>
    </w:p>
    <w:p w14:paraId="0E365018">
      <w:pPr>
        <w:pStyle w:val="7"/>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（三）服务配送要求</w:t>
      </w:r>
    </w:p>
    <w:p w14:paraId="57414B36">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1.配送合作要求</w:t>
      </w:r>
    </w:p>
    <w:p w14:paraId="2F4D3BC2">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（1）合作商须提供上门配送服务，根据订单配送至客户指定地点，除客户要求外，不能配送至第三方菜鸟驿站及寄存机构等；不能引导客户不送至客户指定地点。</w:t>
      </w:r>
    </w:p>
    <w:p w14:paraId="72910399">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（2）合作商根据用户订单实际送达时间需求完成配送。（最长不超过30个小时）配送时段：T+1日8：00-12：00；15：00-18：00。</w:t>
      </w:r>
    </w:p>
    <w:p w14:paraId="45E9D555">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（3）配送区域需包含贵阳市八大区域（贵阳市南明区、云岩区、观山湖区、花溪区、经开区、乌当区、白云区、清镇市内）。</w:t>
      </w:r>
    </w:p>
    <w:p w14:paraId="37AA5F41">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（4）配送商品重量：2000KG（含）内均需上门配送。</w:t>
      </w:r>
    </w:p>
    <w:p w14:paraId="2FF58D1D">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（5）商品订单超出免额配送范围后，根据配送距离及商品总重量进行收费，邮费收取标准见下表：</w:t>
      </w:r>
    </w:p>
    <w:p w14:paraId="476D5C8B">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注:</w:t>
      </w:r>
    </w:p>
    <w:p w14:paraId="6AAE1D39">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①a表示配送距离，b表示商品总重量，c表示下单金额；</w:t>
      </w:r>
    </w:p>
    <w:p w14:paraId="0A85B941">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②邮费收取标准=a+b+c。</w:t>
      </w:r>
    </w:p>
    <w:p w14:paraId="16D3511A">
      <w:pPr>
        <w:pStyle w:val="2"/>
        <w:rPr>
          <w:rFonts w:hint="eastAsia"/>
          <w:lang w:val="en-US" w:eastAsia="zh-CN"/>
        </w:rPr>
      </w:pPr>
    </w:p>
    <w:tbl>
      <w:tblPr>
        <w:tblStyle w:val="5"/>
        <w:tblW w:w="0" w:type="auto"/>
        <w:tblInd w:w="5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2"/>
        <w:gridCol w:w="1162"/>
        <w:gridCol w:w="2214"/>
        <w:gridCol w:w="1040"/>
        <w:gridCol w:w="993"/>
        <w:gridCol w:w="1040"/>
      </w:tblGrid>
      <w:tr w14:paraId="47BD1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 w:hRule="atLeast"/>
        </w:trPr>
        <w:tc>
          <w:tcPr>
            <w:tcW w:w="1512" w:type="dxa"/>
            <w:noWrap w:val="0"/>
            <w:vAlign w:val="center"/>
          </w:tcPr>
          <w:p w14:paraId="28C09413">
            <w:pPr>
              <w:keepNext w:val="0"/>
              <w:keepLines w:val="0"/>
              <w:pageBreakBefore w:val="0"/>
              <w:kinsoku/>
              <w:wordWrap/>
              <w:overflowPunct/>
              <w:topLinePunct w:val="0"/>
              <w:autoSpaceDE/>
              <w:autoSpaceDN/>
              <w:bidi w:val="0"/>
              <w:spacing w:line="240" w:lineRule="auto"/>
              <w:jc w:val="center"/>
              <w:textAlignment w:val="auto"/>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距离</w:t>
            </w:r>
          </w:p>
        </w:tc>
        <w:tc>
          <w:tcPr>
            <w:tcW w:w="1162" w:type="dxa"/>
            <w:noWrap w:val="0"/>
            <w:vAlign w:val="center"/>
          </w:tcPr>
          <w:p w14:paraId="2EEE9B35">
            <w:pPr>
              <w:keepNext w:val="0"/>
              <w:keepLines w:val="0"/>
              <w:pageBreakBefore w:val="0"/>
              <w:kinsoku/>
              <w:wordWrap/>
              <w:overflowPunct/>
              <w:topLinePunct w:val="0"/>
              <w:autoSpaceDE/>
              <w:autoSpaceDN/>
              <w:bidi w:val="0"/>
              <w:spacing w:line="240" w:lineRule="auto"/>
              <w:jc w:val="center"/>
              <w:textAlignment w:val="auto"/>
              <w:rPr>
                <w:rFonts w:hint="eastAsia" w:ascii="仿宋_GB2312" w:hAnsi="仿宋_GB2312" w:eastAsia="仿宋_GB2312" w:cs="仿宋_GB2312"/>
                <w:b/>
                <w:bCs/>
                <w:color w:val="000000"/>
                <w:sz w:val="21"/>
                <w:szCs w:val="21"/>
                <w:lang w:val="en-US" w:eastAsia="zh-CN"/>
              </w:rPr>
            </w:pPr>
            <w:r>
              <w:rPr>
                <w:rFonts w:hint="eastAsia" w:ascii="仿宋_GB2312" w:hAnsi="仿宋_GB2312" w:eastAsia="仿宋_GB2312" w:cs="仿宋_GB2312"/>
                <w:b/>
                <w:bCs/>
                <w:color w:val="000000"/>
                <w:sz w:val="21"/>
                <w:szCs w:val="21"/>
              </w:rPr>
              <w:t>费用</w:t>
            </w:r>
            <w:r>
              <w:rPr>
                <w:rFonts w:hint="eastAsia" w:ascii="仿宋_GB2312" w:hAnsi="仿宋_GB2312" w:eastAsia="仿宋_GB2312" w:cs="仿宋_GB2312"/>
                <w:b/>
                <w:bCs/>
                <w:color w:val="000000"/>
                <w:sz w:val="21"/>
                <w:szCs w:val="21"/>
                <w:lang w:val="en-US" w:eastAsia="zh-CN"/>
              </w:rPr>
              <w:t>(元）</w:t>
            </w:r>
          </w:p>
        </w:tc>
        <w:tc>
          <w:tcPr>
            <w:tcW w:w="2214" w:type="dxa"/>
            <w:noWrap w:val="0"/>
            <w:vAlign w:val="center"/>
          </w:tcPr>
          <w:p w14:paraId="61E0D91B">
            <w:pPr>
              <w:keepNext w:val="0"/>
              <w:keepLines w:val="0"/>
              <w:pageBreakBefore w:val="0"/>
              <w:kinsoku/>
              <w:wordWrap/>
              <w:overflowPunct/>
              <w:topLinePunct w:val="0"/>
              <w:autoSpaceDE/>
              <w:autoSpaceDN/>
              <w:bidi w:val="0"/>
              <w:spacing w:line="240" w:lineRule="auto"/>
              <w:jc w:val="center"/>
              <w:textAlignment w:val="auto"/>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重量</w:t>
            </w:r>
          </w:p>
        </w:tc>
        <w:tc>
          <w:tcPr>
            <w:tcW w:w="1040" w:type="dxa"/>
            <w:noWrap w:val="0"/>
            <w:vAlign w:val="center"/>
          </w:tcPr>
          <w:p w14:paraId="0A0A8041">
            <w:pPr>
              <w:keepNext w:val="0"/>
              <w:keepLines w:val="0"/>
              <w:pageBreakBefore w:val="0"/>
              <w:kinsoku/>
              <w:wordWrap/>
              <w:overflowPunct/>
              <w:topLinePunct w:val="0"/>
              <w:autoSpaceDE/>
              <w:autoSpaceDN/>
              <w:bidi w:val="0"/>
              <w:spacing w:line="240" w:lineRule="auto"/>
              <w:jc w:val="center"/>
              <w:textAlignment w:val="auto"/>
              <w:rPr>
                <w:rFonts w:hint="eastAsia" w:ascii="仿宋_GB2312" w:hAnsi="仿宋_GB2312" w:eastAsia="仿宋_GB2312" w:cs="仿宋_GB2312"/>
                <w:b/>
                <w:bCs/>
                <w:color w:val="000000"/>
                <w:sz w:val="21"/>
                <w:szCs w:val="21"/>
                <w:lang w:eastAsia="zh-CN"/>
              </w:rPr>
            </w:pPr>
            <w:r>
              <w:rPr>
                <w:rFonts w:hint="eastAsia" w:ascii="仿宋_GB2312" w:hAnsi="仿宋_GB2312" w:eastAsia="仿宋_GB2312" w:cs="仿宋_GB2312"/>
                <w:b/>
                <w:bCs/>
                <w:color w:val="000000"/>
                <w:sz w:val="21"/>
                <w:szCs w:val="21"/>
              </w:rPr>
              <w:t>费用</w:t>
            </w:r>
            <w:r>
              <w:rPr>
                <w:rFonts w:hint="eastAsia" w:ascii="仿宋_GB2312" w:hAnsi="仿宋_GB2312" w:eastAsia="仿宋_GB2312" w:cs="仿宋_GB2312"/>
                <w:b/>
                <w:bCs/>
                <w:color w:val="000000"/>
                <w:sz w:val="21"/>
                <w:szCs w:val="21"/>
                <w:lang w:eastAsia="zh-CN"/>
              </w:rPr>
              <w:t>（</w:t>
            </w:r>
            <w:r>
              <w:rPr>
                <w:rFonts w:hint="eastAsia" w:ascii="仿宋_GB2312" w:hAnsi="仿宋_GB2312" w:eastAsia="仿宋_GB2312" w:cs="仿宋_GB2312"/>
                <w:b/>
                <w:bCs/>
                <w:color w:val="000000"/>
                <w:sz w:val="21"/>
                <w:szCs w:val="21"/>
                <w:lang w:val="en-US" w:eastAsia="zh-CN"/>
              </w:rPr>
              <w:t>元</w:t>
            </w:r>
            <w:r>
              <w:rPr>
                <w:rFonts w:hint="eastAsia" w:ascii="仿宋_GB2312" w:hAnsi="仿宋_GB2312" w:eastAsia="仿宋_GB2312" w:cs="仿宋_GB2312"/>
                <w:b/>
                <w:bCs/>
                <w:color w:val="000000"/>
                <w:sz w:val="21"/>
                <w:szCs w:val="21"/>
                <w:lang w:eastAsia="zh-CN"/>
              </w:rPr>
              <w:t>）</w:t>
            </w:r>
          </w:p>
        </w:tc>
        <w:tc>
          <w:tcPr>
            <w:tcW w:w="993" w:type="dxa"/>
            <w:noWrap w:val="0"/>
            <w:vAlign w:val="center"/>
          </w:tcPr>
          <w:p w14:paraId="1EFED6C1">
            <w:pPr>
              <w:keepNext w:val="0"/>
              <w:keepLines w:val="0"/>
              <w:pageBreakBefore w:val="0"/>
              <w:kinsoku/>
              <w:wordWrap/>
              <w:overflowPunct/>
              <w:topLinePunct w:val="0"/>
              <w:autoSpaceDE/>
              <w:autoSpaceDN/>
              <w:bidi w:val="0"/>
              <w:spacing w:line="240" w:lineRule="auto"/>
              <w:jc w:val="center"/>
              <w:textAlignment w:val="auto"/>
              <w:rPr>
                <w:rFonts w:hint="eastAsia" w:ascii="仿宋_GB2312" w:hAnsi="仿宋_GB2312" w:eastAsia="仿宋_GB2312" w:cs="仿宋_GB2312"/>
                <w:b/>
                <w:bCs/>
                <w:color w:val="000000"/>
                <w:sz w:val="21"/>
                <w:szCs w:val="21"/>
                <w:lang w:val="en-US" w:eastAsia="zh-CN"/>
              </w:rPr>
            </w:pPr>
            <w:r>
              <w:rPr>
                <w:rFonts w:hint="eastAsia" w:ascii="仿宋_GB2312" w:hAnsi="仿宋_GB2312" w:eastAsia="仿宋_GB2312" w:cs="仿宋_GB2312"/>
                <w:b/>
                <w:bCs/>
                <w:color w:val="000000"/>
                <w:sz w:val="21"/>
                <w:szCs w:val="21"/>
                <w:lang w:val="en-US" w:eastAsia="zh-CN"/>
              </w:rPr>
              <w:t>下单金额</w:t>
            </w:r>
          </w:p>
        </w:tc>
        <w:tc>
          <w:tcPr>
            <w:tcW w:w="1040" w:type="dxa"/>
            <w:noWrap w:val="0"/>
            <w:vAlign w:val="center"/>
          </w:tcPr>
          <w:p w14:paraId="121FB2CC">
            <w:pPr>
              <w:keepNext w:val="0"/>
              <w:keepLines w:val="0"/>
              <w:pageBreakBefore w:val="0"/>
              <w:kinsoku/>
              <w:wordWrap/>
              <w:overflowPunct/>
              <w:topLinePunct w:val="0"/>
              <w:autoSpaceDE/>
              <w:autoSpaceDN/>
              <w:bidi w:val="0"/>
              <w:spacing w:line="240" w:lineRule="auto"/>
              <w:jc w:val="center"/>
              <w:textAlignment w:val="auto"/>
              <w:rPr>
                <w:rFonts w:hint="eastAsia" w:ascii="仿宋_GB2312" w:hAnsi="仿宋_GB2312" w:eastAsia="仿宋_GB2312" w:cs="仿宋_GB2312"/>
                <w:b/>
                <w:bCs/>
                <w:color w:val="000000"/>
                <w:sz w:val="21"/>
                <w:szCs w:val="21"/>
                <w:lang w:val="en-US" w:eastAsia="zh-CN"/>
              </w:rPr>
            </w:pPr>
            <w:r>
              <w:rPr>
                <w:rFonts w:hint="eastAsia" w:ascii="仿宋_GB2312" w:hAnsi="仿宋_GB2312" w:eastAsia="仿宋_GB2312" w:cs="仿宋_GB2312"/>
                <w:b/>
                <w:bCs/>
                <w:color w:val="000000"/>
                <w:sz w:val="21"/>
                <w:szCs w:val="21"/>
                <w:lang w:val="en-US" w:eastAsia="zh-CN"/>
              </w:rPr>
              <w:t>费用（元）</w:t>
            </w:r>
          </w:p>
        </w:tc>
      </w:tr>
      <w:tr w14:paraId="06F21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2" w:type="dxa"/>
            <w:noWrap w:val="0"/>
            <w:vAlign w:val="top"/>
          </w:tcPr>
          <w:p w14:paraId="0DE7CD0A">
            <w:pPr>
              <w:keepNext w:val="0"/>
              <w:keepLines w:val="0"/>
              <w:pageBreakBefore w:val="0"/>
              <w:kinsoku/>
              <w:wordWrap/>
              <w:overflowPunct/>
              <w:topLinePunct w:val="0"/>
              <w:autoSpaceDE/>
              <w:autoSpaceDN/>
              <w:bidi w:val="0"/>
              <w:spacing w:line="240" w:lineRule="auto"/>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3</w:t>
            </w:r>
            <w:r>
              <w:rPr>
                <w:rFonts w:hint="eastAsia" w:ascii="仿宋_GB2312" w:hAnsi="仿宋_GB2312" w:eastAsia="仿宋_GB2312" w:cs="仿宋_GB2312"/>
                <w:color w:val="000000"/>
                <w:sz w:val="21"/>
                <w:szCs w:val="21"/>
                <w:lang w:val="en-US" w:eastAsia="zh-CN"/>
              </w:rPr>
              <w:t>km</w:t>
            </w:r>
            <w:r>
              <w:rPr>
                <w:rFonts w:hint="eastAsia" w:ascii="仿宋_GB2312" w:hAnsi="仿宋_GB2312" w:eastAsia="仿宋_GB2312" w:cs="仿宋_GB2312"/>
                <w:color w:val="000000"/>
                <w:sz w:val="21"/>
                <w:szCs w:val="21"/>
              </w:rPr>
              <w:t>＜a</w:t>
            </w:r>
            <w:r>
              <w:rPr>
                <w:rFonts w:hint="eastAsia" w:ascii="仿宋_GB2312" w:hAnsi="仿宋_GB2312" w:eastAsia="仿宋_GB2312" w:cs="仿宋_GB2312"/>
                <w:color w:val="000000"/>
                <w:sz w:val="21"/>
                <w:szCs w:val="21"/>
                <w:lang w:val="en-US" w:eastAsia="zh-CN"/>
              </w:rPr>
              <w:t>≦</w:t>
            </w:r>
            <w:r>
              <w:rPr>
                <w:rFonts w:hint="eastAsia" w:ascii="仿宋_GB2312" w:hAnsi="仿宋_GB2312" w:eastAsia="仿宋_GB2312" w:cs="仿宋_GB2312"/>
                <w:color w:val="000000"/>
                <w:sz w:val="21"/>
                <w:szCs w:val="21"/>
              </w:rPr>
              <w:t>5km</w:t>
            </w:r>
          </w:p>
        </w:tc>
        <w:tc>
          <w:tcPr>
            <w:tcW w:w="1162" w:type="dxa"/>
            <w:noWrap w:val="0"/>
            <w:vAlign w:val="top"/>
          </w:tcPr>
          <w:p w14:paraId="45C182ED">
            <w:pPr>
              <w:keepNext w:val="0"/>
              <w:keepLines w:val="0"/>
              <w:pageBreakBefore w:val="0"/>
              <w:kinsoku/>
              <w:wordWrap/>
              <w:overflowPunct/>
              <w:topLinePunct w:val="0"/>
              <w:autoSpaceDE/>
              <w:autoSpaceDN/>
              <w:bidi w:val="0"/>
              <w:spacing w:line="240" w:lineRule="auto"/>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5</w:t>
            </w:r>
          </w:p>
        </w:tc>
        <w:tc>
          <w:tcPr>
            <w:tcW w:w="2214" w:type="dxa"/>
            <w:noWrap w:val="0"/>
            <w:vAlign w:val="top"/>
          </w:tcPr>
          <w:p w14:paraId="4608B74C">
            <w:pPr>
              <w:keepNext w:val="0"/>
              <w:keepLines w:val="0"/>
              <w:pageBreakBefore w:val="0"/>
              <w:kinsoku/>
              <w:wordWrap/>
              <w:overflowPunct/>
              <w:topLinePunct w:val="0"/>
              <w:autoSpaceDE/>
              <w:autoSpaceDN/>
              <w:bidi w:val="0"/>
              <w:spacing w:line="240" w:lineRule="auto"/>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20kg＜b</w:t>
            </w:r>
            <w:r>
              <w:rPr>
                <w:rFonts w:hint="eastAsia" w:ascii="仿宋_GB2312" w:hAnsi="仿宋_GB2312" w:eastAsia="仿宋_GB2312" w:cs="仿宋_GB2312"/>
                <w:color w:val="000000"/>
                <w:sz w:val="21"/>
                <w:szCs w:val="21"/>
                <w:lang w:val="en-US" w:eastAsia="zh-CN"/>
              </w:rPr>
              <w:t>≦</w:t>
            </w:r>
            <w:r>
              <w:rPr>
                <w:rFonts w:hint="eastAsia" w:ascii="仿宋_GB2312" w:hAnsi="仿宋_GB2312" w:eastAsia="仿宋_GB2312" w:cs="仿宋_GB2312"/>
                <w:color w:val="000000"/>
                <w:sz w:val="21"/>
                <w:szCs w:val="21"/>
              </w:rPr>
              <w:t>50kg</w:t>
            </w:r>
          </w:p>
        </w:tc>
        <w:tc>
          <w:tcPr>
            <w:tcW w:w="1040" w:type="dxa"/>
            <w:noWrap w:val="0"/>
            <w:vAlign w:val="top"/>
          </w:tcPr>
          <w:p w14:paraId="1882B4D9">
            <w:pPr>
              <w:keepNext w:val="0"/>
              <w:keepLines w:val="0"/>
              <w:pageBreakBefore w:val="0"/>
              <w:kinsoku/>
              <w:wordWrap/>
              <w:overflowPunct/>
              <w:topLinePunct w:val="0"/>
              <w:autoSpaceDE/>
              <w:autoSpaceDN/>
              <w:bidi w:val="0"/>
              <w:spacing w:line="240" w:lineRule="auto"/>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10</w:t>
            </w:r>
          </w:p>
        </w:tc>
        <w:tc>
          <w:tcPr>
            <w:tcW w:w="993" w:type="dxa"/>
            <w:noWrap w:val="0"/>
            <w:vAlign w:val="top"/>
          </w:tcPr>
          <w:p w14:paraId="33E53ED0">
            <w:pPr>
              <w:keepNext w:val="0"/>
              <w:keepLines w:val="0"/>
              <w:pageBreakBefore w:val="0"/>
              <w:kinsoku/>
              <w:wordWrap/>
              <w:overflowPunct/>
              <w:topLinePunct w:val="0"/>
              <w:autoSpaceDE/>
              <w:autoSpaceDN/>
              <w:bidi w:val="0"/>
              <w:spacing w:line="240" w:lineRule="auto"/>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c</w:t>
            </w:r>
            <w:r>
              <w:rPr>
                <w:rFonts w:hint="eastAsia" w:ascii="仿宋_GB2312" w:hAnsi="仿宋_GB2312" w:eastAsia="仿宋_GB2312" w:cs="仿宋_GB2312"/>
                <w:color w:val="000000"/>
                <w:sz w:val="21"/>
                <w:szCs w:val="21"/>
              </w:rPr>
              <w:t>＜</w:t>
            </w:r>
            <w:r>
              <w:rPr>
                <w:rFonts w:hint="eastAsia" w:ascii="仿宋_GB2312" w:hAnsi="仿宋_GB2312" w:eastAsia="仿宋_GB2312" w:cs="仿宋_GB2312"/>
                <w:color w:val="000000"/>
                <w:sz w:val="21"/>
                <w:szCs w:val="21"/>
                <w:lang w:val="en-US" w:eastAsia="zh-CN"/>
              </w:rPr>
              <w:t>30元</w:t>
            </w:r>
          </w:p>
        </w:tc>
        <w:tc>
          <w:tcPr>
            <w:tcW w:w="1040" w:type="dxa"/>
            <w:noWrap w:val="0"/>
            <w:vAlign w:val="top"/>
          </w:tcPr>
          <w:p w14:paraId="5DD0A09B">
            <w:pPr>
              <w:keepNext w:val="0"/>
              <w:keepLines w:val="0"/>
              <w:pageBreakBefore w:val="0"/>
              <w:kinsoku/>
              <w:wordWrap/>
              <w:overflowPunct/>
              <w:topLinePunct w:val="0"/>
              <w:autoSpaceDE/>
              <w:autoSpaceDN/>
              <w:bidi w:val="0"/>
              <w:spacing w:line="240" w:lineRule="auto"/>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8</w:t>
            </w:r>
          </w:p>
        </w:tc>
      </w:tr>
      <w:tr w14:paraId="39253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2" w:type="dxa"/>
            <w:noWrap w:val="0"/>
            <w:vAlign w:val="top"/>
          </w:tcPr>
          <w:p w14:paraId="70941BE4">
            <w:pPr>
              <w:keepNext w:val="0"/>
              <w:keepLines w:val="0"/>
              <w:pageBreakBefore w:val="0"/>
              <w:kinsoku/>
              <w:wordWrap/>
              <w:overflowPunct/>
              <w:topLinePunct w:val="0"/>
              <w:autoSpaceDE/>
              <w:autoSpaceDN/>
              <w:bidi w:val="0"/>
              <w:spacing w:line="240" w:lineRule="auto"/>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lang w:val="en-US" w:eastAsia="zh-CN"/>
              </w:rPr>
              <w:t>5km</w:t>
            </w:r>
            <w:r>
              <w:rPr>
                <w:rFonts w:hint="eastAsia" w:ascii="仿宋_GB2312" w:hAnsi="仿宋_GB2312" w:eastAsia="仿宋_GB2312" w:cs="仿宋_GB2312"/>
                <w:color w:val="000000"/>
                <w:sz w:val="21"/>
                <w:szCs w:val="21"/>
              </w:rPr>
              <w:t>＜a</w:t>
            </w:r>
            <w:r>
              <w:rPr>
                <w:rFonts w:hint="eastAsia" w:ascii="仿宋_GB2312" w:hAnsi="仿宋_GB2312" w:eastAsia="仿宋_GB2312" w:cs="仿宋_GB2312"/>
                <w:color w:val="000000"/>
                <w:sz w:val="21"/>
                <w:szCs w:val="21"/>
                <w:lang w:val="en-US" w:eastAsia="zh-CN"/>
              </w:rPr>
              <w:t>≦</w:t>
            </w:r>
            <w:r>
              <w:rPr>
                <w:rFonts w:hint="eastAsia" w:ascii="仿宋_GB2312" w:hAnsi="仿宋_GB2312" w:eastAsia="仿宋_GB2312" w:cs="仿宋_GB2312"/>
                <w:color w:val="000000"/>
                <w:sz w:val="21"/>
                <w:szCs w:val="21"/>
              </w:rPr>
              <w:t>10km</w:t>
            </w:r>
          </w:p>
        </w:tc>
        <w:tc>
          <w:tcPr>
            <w:tcW w:w="1162" w:type="dxa"/>
            <w:noWrap w:val="0"/>
            <w:vAlign w:val="top"/>
          </w:tcPr>
          <w:p w14:paraId="6CDFCC24">
            <w:pPr>
              <w:keepNext w:val="0"/>
              <w:keepLines w:val="0"/>
              <w:pageBreakBefore w:val="0"/>
              <w:kinsoku/>
              <w:wordWrap/>
              <w:overflowPunct/>
              <w:topLinePunct w:val="0"/>
              <w:autoSpaceDE/>
              <w:autoSpaceDN/>
              <w:bidi w:val="0"/>
              <w:spacing w:line="240" w:lineRule="auto"/>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15</w:t>
            </w:r>
          </w:p>
        </w:tc>
        <w:tc>
          <w:tcPr>
            <w:tcW w:w="2214" w:type="dxa"/>
            <w:noWrap w:val="0"/>
            <w:vAlign w:val="top"/>
          </w:tcPr>
          <w:p w14:paraId="30EFF5E3">
            <w:pPr>
              <w:keepNext w:val="0"/>
              <w:keepLines w:val="0"/>
              <w:pageBreakBefore w:val="0"/>
              <w:kinsoku/>
              <w:wordWrap/>
              <w:overflowPunct/>
              <w:topLinePunct w:val="0"/>
              <w:autoSpaceDE/>
              <w:autoSpaceDN/>
              <w:bidi w:val="0"/>
              <w:spacing w:line="240" w:lineRule="auto"/>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50kg＜b</w:t>
            </w:r>
            <w:r>
              <w:rPr>
                <w:rFonts w:hint="eastAsia" w:ascii="仿宋_GB2312" w:hAnsi="仿宋_GB2312" w:eastAsia="仿宋_GB2312" w:cs="仿宋_GB2312"/>
                <w:color w:val="000000"/>
                <w:sz w:val="21"/>
                <w:szCs w:val="21"/>
                <w:lang w:val="en-US" w:eastAsia="zh-CN"/>
              </w:rPr>
              <w:t>≦</w:t>
            </w:r>
            <w:r>
              <w:rPr>
                <w:rFonts w:hint="eastAsia" w:ascii="仿宋_GB2312" w:hAnsi="仿宋_GB2312" w:eastAsia="仿宋_GB2312" w:cs="仿宋_GB2312"/>
                <w:color w:val="000000"/>
                <w:sz w:val="21"/>
                <w:szCs w:val="21"/>
              </w:rPr>
              <w:t>100kg</w:t>
            </w:r>
          </w:p>
        </w:tc>
        <w:tc>
          <w:tcPr>
            <w:tcW w:w="1040" w:type="dxa"/>
            <w:noWrap w:val="0"/>
            <w:vAlign w:val="top"/>
          </w:tcPr>
          <w:p w14:paraId="7C87E576">
            <w:pPr>
              <w:keepNext w:val="0"/>
              <w:keepLines w:val="0"/>
              <w:pageBreakBefore w:val="0"/>
              <w:kinsoku/>
              <w:wordWrap/>
              <w:overflowPunct/>
              <w:topLinePunct w:val="0"/>
              <w:autoSpaceDE/>
              <w:autoSpaceDN/>
              <w:bidi w:val="0"/>
              <w:spacing w:line="240" w:lineRule="auto"/>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30</w:t>
            </w:r>
          </w:p>
        </w:tc>
        <w:tc>
          <w:tcPr>
            <w:tcW w:w="993" w:type="dxa"/>
            <w:noWrap w:val="0"/>
            <w:vAlign w:val="top"/>
          </w:tcPr>
          <w:p w14:paraId="02687C9D">
            <w:pPr>
              <w:keepNext w:val="0"/>
              <w:keepLines w:val="0"/>
              <w:pageBreakBefore w:val="0"/>
              <w:kinsoku/>
              <w:wordWrap/>
              <w:overflowPunct/>
              <w:topLinePunct w:val="0"/>
              <w:autoSpaceDE/>
              <w:autoSpaceDN/>
              <w:bidi w:val="0"/>
              <w:spacing w:line="240" w:lineRule="auto"/>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c≧30元</w:t>
            </w:r>
          </w:p>
        </w:tc>
        <w:tc>
          <w:tcPr>
            <w:tcW w:w="1040" w:type="dxa"/>
            <w:noWrap w:val="0"/>
            <w:vAlign w:val="top"/>
          </w:tcPr>
          <w:p w14:paraId="52F6F02A">
            <w:pPr>
              <w:keepNext w:val="0"/>
              <w:keepLines w:val="0"/>
              <w:pageBreakBefore w:val="0"/>
              <w:kinsoku/>
              <w:wordWrap/>
              <w:overflowPunct/>
              <w:topLinePunct w:val="0"/>
              <w:autoSpaceDE/>
              <w:autoSpaceDN/>
              <w:bidi w:val="0"/>
              <w:spacing w:line="240" w:lineRule="auto"/>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w:t>
            </w:r>
          </w:p>
        </w:tc>
      </w:tr>
      <w:tr w14:paraId="37AA0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2" w:type="dxa"/>
            <w:noWrap w:val="0"/>
            <w:vAlign w:val="top"/>
          </w:tcPr>
          <w:p w14:paraId="77CE8671">
            <w:pPr>
              <w:keepNext w:val="0"/>
              <w:keepLines w:val="0"/>
              <w:pageBreakBefore w:val="0"/>
              <w:kinsoku/>
              <w:wordWrap/>
              <w:overflowPunct/>
              <w:topLinePunct w:val="0"/>
              <w:autoSpaceDE/>
              <w:autoSpaceDN/>
              <w:bidi w:val="0"/>
              <w:spacing w:line="240" w:lineRule="auto"/>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lang w:val="en-US" w:eastAsia="zh-CN"/>
              </w:rPr>
              <w:t>a﹥10km</w:t>
            </w:r>
          </w:p>
        </w:tc>
        <w:tc>
          <w:tcPr>
            <w:tcW w:w="1162" w:type="dxa"/>
            <w:noWrap w:val="0"/>
            <w:vAlign w:val="top"/>
          </w:tcPr>
          <w:p w14:paraId="4A7BE517">
            <w:pPr>
              <w:keepNext w:val="0"/>
              <w:keepLines w:val="0"/>
              <w:pageBreakBefore w:val="0"/>
              <w:kinsoku/>
              <w:wordWrap/>
              <w:overflowPunct/>
              <w:topLinePunct w:val="0"/>
              <w:autoSpaceDE/>
              <w:autoSpaceDN/>
              <w:bidi w:val="0"/>
              <w:spacing w:line="240" w:lineRule="auto"/>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35</w:t>
            </w:r>
          </w:p>
        </w:tc>
        <w:tc>
          <w:tcPr>
            <w:tcW w:w="2214" w:type="dxa"/>
            <w:noWrap w:val="0"/>
            <w:vAlign w:val="top"/>
          </w:tcPr>
          <w:p w14:paraId="0A04C4A4">
            <w:pPr>
              <w:keepNext w:val="0"/>
              <w:keepLines w:val="0"/>
              <w:pageBreakBefore w:val="0"/>
              <w:kinsoku/>
              <w:wordWrap/>
              <w:overflowPunct/>
              <w:topLinePunct w:val="0"/>
              <w:autoSpaceDE/>
              <w:autoSpaceDN/>
              <w:bidi w:val="0"/>
              <w:spacing w:line="240" w:lineRule="auto"/>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100kg＜b</w:t>
            </w:r>
            <w:r>
              <w:rPr>
                <w:rFonts w:hint="eastAsia" w:ascii="仿宋_GB2312" w:hAnsi="仿宋_GB2312" w:eastAsia="仿宋_GB2312" w:cs="仿宋_GB2312"/>
                <w:color w:val="000000"/>
                <w:sz w:val="21"/>
                <w:szCs w:val="21"/>
                <w:lang w:val="en-US" w:eastAsia="zh-CN"/>
              </w:rPr>
              <w:t>≦</w:t>
            </w:r>
            <w:r>
              <w:rPr>
                <w:rFonts w:hint="eastAsia" w:ascii="仿宋_GB2312" w:hAnsi="仿宋_GB2312" w:eastAsia="仿宋_GB2312" w:cs="仿宋_GB2312"/>
                <w:color w:val="000000"/>
                <w:sz w:val="21"/>
                <w:szCs w:val="21"/>
              </w:rPr>
              <w:t>200kg</w:t>
            </w:r>
          </w:p>
        </w:tc>
        <w:tc>
          <w:tcPr>
            <w:tcW w:w="1040" w:type="dxa"/>
            <w:noWrap w:val="0"/>
            <w:vAlign w:val="top"/>
          </w:tcPr>
          <w:p w14:paraId="5E62E99F">
            <w:pPr>
              <w:keepNext w:val="0"/>
              <w:keepLines w:val="0"/>
              <w:pageBreakBefore w:val="0"/>
              <w:kinsoku/>
              <w:wordWrap/>
              <w:overflowPunct/>
              <w:topLinePunct w:val="0"/>
              <w:autoSpaceDE/>
              <w:autoSpaceDN/>
              <w:bidi w:val="0"/>
              <w:spacing w:line="240" w:lineRule="auto"/>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40</w:t>
            </w:r>
          </w:p>
        </w:tc>
        <w:tc>
          <w:tcPr>
            <w:tcW w:w="993" w:type="dxa"/>
            <w:noWrap w:val="0"/>
            <w:vAlign w:val="top"/>
          </w:tcPr>
          <w:p w14:paraId="6B80431D">
            <w:pPr>
              <w:keepNext w:val="0"/>
              <w:keepLines w:val="0"/>
              <w:pageBreakBefore w:val="0"/>
              <w:kinsoku/>
              <w:wordWrap/>
              <w:overflowPunct/>
              <w:topLinePunct w:val="0"/>
              <w:autoSpaceDE/>
              <w:autoSpaceDN/>
              <w:bidi w:val="0"/>
              <w:spacing w:line="240" w:lineRule="auto"/>
              <w:jc w:val="center"/>
              <w:textAlignment w:val="auto"/>
              <w:rPr>
                <w:rFonts w:hint="eastAsia" w:ascii="仿宋_GB2312" w:hAnsi="仿宋_GB2312" w:eastAsia="仿宋_GB2312" w:cs="仿宋_GB2312"/>
                <w:color w:val="000000"/>
                <w:sz w:val="21"/>
                <w:szCs w:val="21"/>
              </w:rPr>
            </w:pPr>
          </w:p>
        </w:tc>
        <w:tc>
          <w:tcPr>
            <w:tcW w:w="1040" w:type="dxa"/>
            <w:noWrap w:val="0"/>
            <w:vAlign w:val="top"/>
          </w:tcPr>
          <w:p w14:paraId="7219D76B">
            <w:pPr>
              <w:keepNext w:val="0"/>
              <w:keepLines w:val="0"/>
              <w:pageBreakBefore w:val="0"/>
              <w:kinsoku/>
              <w:wordWrap/>
              <w:overflowPunct/>
              <w:topLinePunct w:val="0"/>
              <w:autoSpaceDE/>
              <w:autoSpaceDN/>
              <w:bidi w:val="0"/>
              <w:spacing w:line="240" w:lineRule="auto"/>
              <w:jc w:val="center"/>
              <w:textAlignment w:val="auto"/>
              <w:rPr>
                <w:rFonts w:hint="eastAsia" w:ascii="仿宋_GB2312" w:hAnsi="仿宋_GB2312" w:eastAsia="仿宋_GB2312" w:cs="仿宋_GB2312"/>
                <w:color w:val="000000"/>
                <w:sz w:val="21"/>
                <w:szCs w:val="21"/>
              </w:rPr>
            </w:pPr>
          </w:p>
        </w:tc>
      </w:tr>
      <w:tr w14:paraId="4E8F5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2" w:type="dxa"/>
            <w:noWrap w:val="0"/>
            <w:vAlign w:val="top"/>
          </w:tcPr>
          <w:p w14:paraId="70176AA5">
            <w:pPr>
              <w:keepNext w:val="0"/>
              <w:keepLines w:val="0"/>
              <w:pageBreakBefore w:val="0"/>
              <w:kinsoku/>
              <w:wordWrap/>
              <w:overflowPunct/>
              <w:topLinePunct w:val="0"/>
              <w:autoSpaceDE/>
              <w:autoSpaceDN/>
              <w:bidi w:val="0"/>
              <w:spacing w:line="240" w:lineRule="auto"/>
              <w:jc w:val="center"/>
              <w:textAlignment w:val="auto"/>
              <w:rPr>
                <w:rFonts w:hint="eastAsia" w:ascii="仿宋_GB2312" w:hAnsi="仿宋_GB2312" w:eastAsia="仿宋_GB2312" w:cs="仿宋_GB2312"/>
                <w:color w:val="000000"/>
                <w:sz w:val="21"/>
                <w:szCs w:val="21"/>
                <w:lang w:val="en-US" w:eastAsia="zh-CN"/>
              </w:rPr>
            </w:pPr>
          </w:p>
        </w:tc>
        <w:tc>
          <w:tcPr>
            <w:tcW w:w="1162" w:type="dxa"/>
            <w:noWrap w:val="0"/>
            <w:vAlign w:val="top"/>
          </w:tcPr>
          <w:p w14:paraId="7C37962C">
            <w:pPr>
              <w:keepNext w:val="0"/>
              <w:keepLines w:val="0"/>
              <w:pageBreakBefore w:val="0"/>
              <w:kinsoku/>
              <w:wordWrap/>
              <w:overflowPunct/>
              <w:topLinePunct w:val="0"/>
              <w:autoSpaceDE/>
              <w:autoSpaceDN/>
              <w:bidi w:val="0"/>
              <w:spacing w:line="240" w:lineRule="auto"/>
              <w:jc w:val="center"/>
              <w:textAlignment w:val="auto"/>
              <w:rPr>
                <w:rFonts w:hint="eastAsia" w:ascii="仿宋_GB2312" w:hAnsi="仿宋_GB2312" w:eastAsia="仿宋_GB2312" w:cs="仿宋_GB2312"/>
                <w:color w:val="000000"/>
                <w:sz w:val="21"/>
                <w:szCs w:val="21"/>
              </w:rPr>
            </w:pPr>
          </w:p>
        </w:tc>
        <w:tc>
          <w:tcPr>
            <w:tcW w:w="2214" w:type="dxa"/>
            <w:noWrap w:val="0"/>
            <w:vAlign w:val="top"/>
          </w:tcPr>
          <w:p w14:paraId="7925350F">
            <w:pPr>
              <w:keepNext w:val="0"/>
              <w:keepLines w:val="0"/>
              <w:pageBreakBefore w:val="0"/>
              <w:kinsoku/>
              <w:wordWrap/>
              <w:overflowPunct/>
              <w:topLinePunct w:val="0"/>
              <w:autoSpaceDE/>
              <w:autoSpaceDN/>
              <w:bidi w:val="0"/>
              <w:spacing w:line="240" w:lineRule="auto"/>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200kg＜b</w:t>
            </w:r>
            <w:r>
              <w:rPr>
                <w:rFonts w:hint="eastAsia" w:ascii="仿宋_GB2312" w:hAnsi="仿宋_GB2312" w:eastAsia="仿宋_GB2312" w:cs="仿宋_GB2312"/>
                <w:color w:val="000000"/>
                <w:sz w:val="21"/>
                <w:szCs w:val="21"/>
                <w:lang w:val="en-US" w:eastAsia="zh-CN"/>
              </w:rPr>
              <w:t>≦</w:t>
            </w:r>
            <w:r>
              <w:rPr>
                <w:rFonts w:hint="eastAsia" w:ascii="仿宋_GB2312" w:hAnsi="仿宋_GB2312" w:eastAsia="仿宋_GB2312" w:cs="仿宋_GB2312"/>
                <w:color w:val="000000"/>
                <w:sz w:val="21"/>
                <w:szCs w:val="21"/>
              </w:rPr>
              <w:t>1000kg</w:t>
            </w:r>
          </w:p>
        </w:tc>
        <w:tc>
          <w:tcPr>
            <w:tcW w:w="1040" w:type="dxa"/>
            <w:noWrap w:val="0"/>
            <w:vAlign w:val="top"/>
          </w:tcPr>
          <w:p w14:paraId="3A28E7D1">
            <w:pPr>
              <w:keepNext w:val="0"/>
              <w:keepLines w:val="0"/>
              <w:pageBreakBefore w:val="0"/>
              <w:kinsoku/>
              <w:wordWrap/>
              <w:overflowPunct/>
              <w:topLinePunct w:val="0"/>
              <w:autoSpaceDE/>
              <w:autoSpaceDN/>
              <w:bidi w:val="0"/>
              <w:spacing w:line="240" w:lineRule="auto"/>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60</w:t>
            </w:r>
          </w:p>
        </w:tc>
        <w:tc>
          <w:tcPr>
            <w:tcW w:w="993" w:type="dxa"/>
            <w:noWrap w:val="0"/>
            <w:vAlign w:val="top"/>
          </w:tcPr>
          <w:p w14:paraId="652D1E47">
            <w:pPr>
              <w:keepNext w:val="0"/>
              <w:keepLines w:val="0"/>
              <w:pageBreakBefore w:val="0"/>
              <w:kinsoku/>
              <w:wordWrap/>
              <w:overflowPunct/>
              <w:topLinePunct w:val="0"/>
              <w:autoSpaceDE/>
              <w:autoSpaceDN/>
              <w:bidi w:val="0"/>
              <w:spacing w:line="240" w:lineRule="auto"/>
              <w:jc w:val="center"/>
              <w:textAlignment w:val="auto"/>
              <w:rPr>
                <w:rFonts w:hint="eastAsia" w:ascii="仿宋_GB2312" w:hAnsi="仿宋_GB2312" w:eastAsia="仿宋_GB2312" w:cs="仿宋_GB2312"/>
                <w:color w:val="000000"/>
                <w:sz w:val="21"/>
                <w:szCs w:val="21"/>
              </w:rPr>
            </w:pPr>
          </w:p>
        </w:tc>
        <w:tc>
          <w:tcPr>
            <w:tcW w:w="1040" w:type="dxa"/>
            <w:noWrap w:val="0"/>
            <w:vAlign w:val="top"/>
          </w:tcPr>
          <w:p w14:paraId="1575365F">
            <w:pPr>
              <w:keepNext w:val="0"/>
              <w:keepLines w:val="0"/>
              <w:pageBreakBefore w:val="0"/>
              <w:kinsoku/>
              <w:wordWrap/>
              <w:overflowPunct/>
              <w:topLinePunct w:val="0"/>
              <w:autoSpaceDE/>
              <w:autoSpaceDN/>
              <w:bidi w:val="0"/>
              <w:spacing w:line="240" w:lineRule="auto"/>
              <w:jc w:val="center"/>
              <w:textAlignment w:val="auto"/>
              <w:rPr>
                <w:rFonts w:hint="eastAsia" w:ascii="仿宋_GB2312" w:hAnsi="仿宋_GB2312" w:eastAsia="仿宋_GB2312" w:cs="仿宋_GB2312"/>
                <w:color w:val="000000"/>
                <w:sz w:val="21"/>
                <w:szCs w:val="21"/>
              </w:rPr>
            </w:pPr>
          </w:p>
        </w:tc>
      </w:tr>
      <w:tr w14:paraId="25903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2" w:type="dxa"/>
            <w:noWrap w:val="0"/>
            <w:vAlign w:val="top"/>
          </w:tcPr>
          <w:p w14:paraId="494F7D36">
            <w:pPr>
              <w:keepNext w:val="0"/>
              <w:keepLines w:val="0"/>
              <w:pageBreakBefore w:val="0"/>
              <w:kinsoku/>
              <w:wordWrap/>
              <w:overflowPunct/>
              <w:topLinePunct w:val="0"/>
              <w:autoSpaceDE/>
              <w:autoSpaceDN/>
              <w:bidi w:val="0"/>
              <w:spacing w:line="240" w:lineRule="auto"/>
              <w:jc w:val="center"/>
              <w:textAlignment w:val="auto"/>
              <w:rPr>
                <w:rFonts w:hint="eastAsia" w:ascii="仿宋_GB2312" w:hAnsi="仿宋_GB2312" w:eastAsia="仿宋_GB2312" w:cs="仿宋_GB2312"/>
                <w:color w:val="000000"/>
                <w:sz w:val="21"/>
                <w:szCs w:val="21"/>
              </w:rPr>
            </w:pPr>
          </w:p>
        </w:tc>
        <w:tc>
          <w:tcPr>
            <w:tcW w:w="1162" w:type="dxa"/>
            <w:noWrap w:val="0"/>
            <w:vAlign w:val="top"/>
          </w:tcPr>
          <w:p w14:paraId="68D509AC">
            <w:pPr>
              <w:keepNext w:val="0"/>
              <w:keepLines w:val="0"/>
              <w:pageBreakBefore w:val="0"/>
              <w:kinsoku/>
              <w:wordWrap/>
              <w:overflowPunct/>
              <w:topLinePunct w:val="0"/>
              <w:autoSpaceDE/>
              <w:autoSpaceDN/>
              <w:bidi w:val="0"/>
              <w:spacing w:line="240" w:lineRule="auto"/>
              <w:jc w:val="center"/>
              <w:textAlignment w:val="auto"/>
              <w:rPr>
                <w:rFonts w:hint="eastAsia" w:ascii="仿宋_GB2312" w:hAnsi="仿宋_GB2312" w:eastAsia="仿宋_GB2312" w:cs="仿宋_GB2312"/>
                <w:color w:val="000000"/>
                <w:sz w:val="21"/>
                <w:szCs w:val="21"/>
              </w:rPr>
            </w:pPr>
          </w:p>
        </w:tc>
        <w:tc>
          <w:tcPr>
            <w:tcW w:w="2214" w:type="dxa"/>
            <w:noWrap w:val="0"/>
            <w:vAlign w:val="top"/>
          </w:tcPr>
          <w:p w14:paraId="05A78048">
            <w:pPr>
              <w:keepNext w:val="0"/>
              <w:keepLines w:val="0"/>
              <w:pageBreakBefore w:val="0"/>
              <w:kinsoku/>
              <w:wordWrap/>
              <w:overflowPunct/>
              <w:topLinePunct w:val="0"/>
              <w:autoSpaceDE/>
              <w:autoSpaceDN/>
              <w:bidi w:val="0"/>
              <w:spacing w:line="240" w:lineRule="auto"/>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lang w:val="en-US" w:eastAsia="zh-CN"/>
              </w:rPr>
              <w:t>b﹥</w:t>
            </w:r>
            <w:r>
              <w:rPr>
                <w:rFonts w:hint="eastAsia" w:ascii="仿宋_GB2312" w:hAnsi="仿宋_GB2312" w:eastAsia="仿宋_GB2312" w:cs="仿宋_GB2312"/>
                <w:color w:val="000000"/>
                <w:sz w:val="21"/>
                <w:szCs w:val="21"/>
              </w:rPr>
              <w:t>1000kg</w:t>
            </w:r>
          </w:p>
        </w:tc>
        <w:tc>
          <w:tcPr>
            <w:tcW w:w="1040" w:type="dxa"/>
            <w:noWrap w:val="0"/>
            <w:vAlign w:val="top"/>
          </w:tcPr>
          <w:p w14:paraId="0001774B">
            <w:pPr>
              <w:keepNext w:val="0"/>
              <w:keepLines w:val="0"/>
              <w:pageBreakBefore w:val="0"/>
              <w:kinsoku/>
              <w:wordWrap/>
              <w:overflowPunct/>
              <w:topLinePunct w:val="0"/>
              <w:autoSpaceDE/>
              <w:autoSpaceDN/>
              <w:bidi w:val="0"/>
              <w:spacing w:line="240" w:lineRule="auto"/>
              <w:jc w:val="center"/>
              <w:textAlignment w:val="auto"/>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100</w:t>
            </w:r>
          </w:p>
        </w:tc>
        <w:tc>
          <w:tcPr>
            <w:tcW w:w="993" w:type="dxa"/>
            <w:noWrap w:val="0"/>
            <w:vAlign w:val="top"/>
          </w:tcPr>
          <w:p w14:paraId="38F02172">
            <w:pPr>
              <w:keepNext w:val="0"/>
              <w:keepLines w:val="0"/>
              <w:pageBreakBefore w:val="0"/>
              <w:kinsoku/>
              <w:wordWrap/>
              <w:overflowPunct/>
              <w:topLinePunct w:val="0"/>
              <w:autoSpaceDE/>
              <w:autoSpaceDN/>
              <w:bidi w:val="0"/>
              <w:spacing w:line="240" w:lineRule="auto"/>
              <w:jc w:val="center"/>
              <w:textAlignment w:val="auto"/>
              <w:rPr>
                <w:rFonts w:hint="eastAsia" w:ascii="仿宋_GB2312" w:hAnsi="仿宋_GB2312" w:eastAsia="仿宋_GB2312" w:cs="仿宋_GB2312"/>
                <w:color w:val="000000"/>
                <w:sz w:val="21"/>
                <w:szCs w:val="21"/>
              </w:rPr>
            </w:pPr>
          </w:p>
        </w:tc>
        <w:tc>
          <w:tcPr>
            <w:tcW w:w="1040" w:type="dxa"/>
            <w:noWrap w:val="0"/>
            <w:vAlign w:val="top"/>
          </w:tcPr>
          <w:p w14:paraId="4EDFFC63">
            <w:pPr>
              <w:keepNext w:val="0"/>
              <w:keepLines w:val="0"/>
              <w:pageBreakBefore w:val="0"/>
              <w:kinsoku/>
              <w:wordWrap/>
              <w:overflowPunct/>
              <w:topLinePunct w:val="0"/>
              <w:autoSpaceDE/>
              <w:autoSpaceDN/>
              <w:bidi w:val="0"/>
              <w:spacing w:line="240" w:lineRule="auto"/>
              <w:jc w:val="center"/>
              <w:textAlignment w:val="auto"/>
              <w:rPr>
                <w:rFonts w:hint="eastAsia" w:ascii="仿宋_GB2312" w:hAnsi="仿宋_GB2312" w:eastAsia="仿宋_GB2312" w:cs="仿宋_GB2312"/>
                <w:color w:val="000000"/>
                <w:sz w:val="21"/>
                <w:szCs w:val="21"/>
              </w:rPr>
            </w:pPr>
          </w:p>
        </w:tc>
      </w:tr>
    </w:tbl>
    <w:p w14:paraId="6137C2CD">
      <w:pPr>
        <w:pStyle w:val="7"/>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（四）商品销售系统维护要求</w:t>
      </w:r>
    </w:p>
    <w:p w14:paraId="6ABD3E8B">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1.内容维护：根据经营分析对商品展示内容进行变更，包括首页推荐位内容及爆款商品的更迭，并制定相应方案，报贵阳农商银行同意后上架。</w:t>
      </w:r>
    </w:p>
    <w:p w14:paraId="53332126">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2.商品及页面维护：含商品信息发布，卡密及卡号的导入，信息维护；依据活动节奏，安排商品促销、商品价格调整、商品首页展示等。</w:t>
      </w:r>
    </w:p>
    <w:p w14:paraId="16D2A571">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3.合作商需负责贵阳农商银行指定的日常运营工作（包括不限于：商品的页面优化、商品信息的发布及商品上下架，商品库存辅助管理及售后服务等）。</w:t>
      </w:r>
    </w:p>
    <w:p w14:paraId="19B0CD9C">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4.合作商具有较高服务水准，可提供售前、售中、售后的全流程运营服务。</w:t>
      </w:r>
    </w:p>
    <w:p w14:paraId="6D38F878">
      <w:pPr>
        <w:pStyle w:val="7"/>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（五）售后服务要求</w:t>
      </w:r>
    </w:p>
    <w:p w14:paraId="3545AB95">
      <w:pPr>
        <w:pStyle w:val="2"/>
        <w:keepNext w:val="0"/>
        <w:keepLines w:val="0"/>
        <w:pageBreakBefore w:val="0"/>
        <w:kinsoku/>
        <w:wordWrap/>
        <w:overflowPunct/>
        <w:topLinePunct w:val="0"/>
        <w:autoSpaceDE/>
        <w:autoSpaceDN/>
        <w:bidi w:val="0"/>
        <w:adjustRightInd/>
        <w:spacing w:after="0" w:line="480" w:lineRule="exact"/>
        <w:ind w:firstLine="640" w:firstLineChars="200"/>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1.货物验收标准：</w:t>
      </w:r>
    </w:p>
    <w:p w14:paraId="7D3027F6">
      <w:pPr>
        <w:keepNext w:val="0"/>
        <w:keepLines w:val="0"/>
        <w:pageBreakBefore w:val="0"/>
        <w:kinsoku/>
        <w:wordWrap/>
        <w:overflowPunct/>
        <w:topLinePunct w:val="0"/>
        <w:autoSpaceDE/>
        <w:autoSpaceDN/>
        <w:bidi w:val="0"/>
        <w:adjustRightInd/>
        <w:spacing w:line="480" w:lineRule="exact"/>
        <w:ind w:firstLine="640" w:firstLineChars="200"/>
        <w:textAlignment w:val="auto"/>
        <w:rPr>
          <w:rFonts w:hint="eastAsia" w:ascii="仿宋_GB2312" w:hAnsi="仿宋_GB2312" w:eastAsia="仿宋_GB2312" w:cs="仿宋_GB2312"/>
          <w:i w:val="0"/>
          <w:iCs w:val="0"/>
          <w:color w:val="000000"/>
          <w:sz w:val="32"/>
          <w:szCs w:val="32"/>
          <w:highlight w:val="none"/>
          <w:u w:val="none"/>
        </w:rPr>
      </w:pPr>
      <w:r>
        <w:rPr>
          <w:rFonts w:hint="eastAsia" w:ascii="仿宋_GB2312" w:hAnsi="仿宋_GB2312" w:eastAsia="仿宋_GB2312" w:cs="仿宋_GB2312"/>
          <w:color w:val="000000"/>
          <w:sz w:val="32"/>
          <w:szCs w:val="32"/>
          <w:highlight w:val="none"/>
          <w:u w:val="none"/>
          <w:lang w:val="en-US" w:eastAsia="zh-CN"/>
        </w:rPr>
        <w:t>（1）</w:t>
      </w:r>
      <w:r>
        <w:rPr>
          <w:rFonts w:hint="eastAsia" w:ascii="仿宋_GB2312" w:hAnsi="仿宋_GB2312" w:eastAsia="仿宋_GB2312" w:cs="仿宋_GB2312"/>
          <w:i w:val="0"/>
          <w:iCs w:val="0"/>
          <w:color w:val="000000"/>
          <w:sz w:val="32"/>
          <w:szCs w:val="32"/>
          <w:highlight w:val="none"/>
          <w:u w:val="none"/>
        </w:rPr>
        <w:t>货物有包装的，货物的包装必须完整、未开封，客户有权拒收包装不整齐、已拆封的商品。</w:t>
      </w:r>
    </w:p>
    <w:p w14:paraId="1A14C349">
      <w:pPr>
        <w:keepNext w:val="0"/>
        <w:keepLines w:val="0"/>
        <w:pageBreakBefore w:val="0"/>
        <w:kinsoku/>
        <w:wordWrap/>
        <w:overflowPunct/>
        <w:topLinePunct w:val="0"/>
        <w:autoSpaceDE/>
        <w:autoSpaceDN/>
        <w:bidi w:val="0"/>
        <w:adjustRightInd/>
        <w:snapToGrid w:val="0"/>
        <w:spacing w:line="480" w:lineRule="exact"/>
        <w:ind w:firstLine="640" w:firstLineChars="200"/>
        <w:jc w:val="both"/>
        <w:textAlignment w:val="auto"/>
        <w:rPr>
          <w:rFonts w:hint="eastAsia" w:ascii="仿宋_GB2312" w:hAnsi="仿宋_GB2312" w:eastAsia="仿宋_GB2312" w:cs="仿宋_GB2312"/>
          <w:i w:val="0"/>
          <w:iCs w:val="0"/>
          <w:color w:val="000000"/>
          <w:sz w:val="32"/>
          <w:szCs w:val="32"/>
          <w:highlight w:val="none"/>
          <w:u w:val="none"/>
          <w:lang w:eastAsia="zh-CN"/>
        </w:rPr>
      </w:pPr>
      <w:r>
        <w:rPr>
          <w:rFonts w:hint="eastAsia" w:ascii="仿宋_GB2312" w:hAnsi="仿宋_GB2312" w:eastAsia="仿宋_GB2312" w:cs="仿宋_GB2312"/>
          <w:i w:val="0"/>
          <w:iCs w:val="0"/>
          <w:color w:val="000000"/>
          <w:sz w:val="32"/>
          <w:szCs w:val="32"/>
          <w:highlight w:val="none"/>
          <w:u w:val="none"/>
          <w:lang w:val="en-US" w:eastAsia="zh-CN"/>
        </w:rPr>
        <w:t>（2）合作商提供的商品</w:t>
      </w:r>
      <w:r>
        <w:rPr>
          <w:rFonts w:hint="eastAsia" w:ascii="仿宋_GB2312" w:hAnsi="仿宋_GB2312" w:eastAsia="仿宋_GB2312" w:cs="仿宋_GB2312"/>
          <w:i w:val="0"/>
          <w:iCs w:val="0"/>
          <w:color w:val="000000"/>
          <w:sz w:val="32"/>
          <w:szCs w:val="32"/>
          <w:highlight w:val="none"/>
          <w:u w:val="none"/>
        </w:rPr>
        <w:t>质量基本标准要求符合国家相关行业标准。从加工、包装、运输、贮存到销售全部符合国家规定标准。</w:t>
      </w:r>
      <w:r>
        <w:rPr>
          <w:rFonts w:hint="eastAsia" w:ascii="仿宋_GB2312" w:hAnsi="仿宋_GB2312" w:eastAsia="仿宋_GB2312" w:cs="仿宋_GB2312"/>
          <w:i w:val="0"/>
          <w:iCs w:val="0"/>
          <w:color w:val="000000"/>
          <w:sz w:val="32"/>
          <w:szCs w:val="32"/>
          <w:highlight w:val="none"/>
          <w:u w:val="none"/>
          <w:lang w:eastAsia="zh-CN"/>
        </w:rPr>
        <w:t>贵阳农商银行</w:t>
      </w:r>
      <w:r>
        <w:rPr>
          <w:rFonts w:hint="eastAsia" w:ascii="仿宋_GB2312" w:hAnsi="仿宋_GB2312" w:eastAsia="仿宋_GB2312" w:cs="仿宋_GB2312"/>
          <w:i w:val="0"/>
          <w:iCs w:val="0"/>
          <w:color w:val="000000"/>
          <w:sz w:val="32"/>
          <w:szCs w:val="32"/>
          <w:highlight w:val="none"/>
          <w:u w:val="none"/>
        </w:rPr>
        <w:t>可根据实际情况对商品进行品质抽检，对质量未达到国家标准的商品</w:t>
      </w:r>
      <w:r>
        <w:rPr>
          <w:rFonts w:hint="eastAsia" w:ascii="仿宋_GB2312" w:hAnsi="仿宋_GB2312" w:eastAsia="仿宋_GB2312" w:cs="仿宋_GB2312"/>
          <w:i w:val="0"/>
          <w:iCs w:val="0"/>
          <w:color w:val="000000"/>
          <w:sz w:val="32"/>
          <w:szCs w:val="32"/>
          <w:highlight w:val="none"/>
          <w:u w:val="none"/>
          <w:lang w:eastAsia="zh-CN"/>
        </w:rPr>
        <w:t>贵阳农商银行</w:t>
      </w:r>
      <w:r>
        <w:rPr>
          <w:rFonts w:hint="eastAsia" w:ascii="仿宋_GB2312" w:hAnsi="仿宋_GB2312" w:eastAsia="仿宋_GB2312" w:cs="仿宋_GB2312"/>
          <w:i w:val="0"/>
          <w:iCs w:val="0"/>
          <w:color w:val="000000"/>
          <w:sz w:val="32"/>
          <w:szCs w:val="32"/>
          <w:highlight w:val="none"/>
          <w:u w:val="none"/>
          <w:lang w:val="en-US" w:eastAsia="zh-CN"/>
        </w:rPr>
        <w:t>客户</w:t>
      </w:r>
      <w:r>
        <w:rPr>
          <w:rFonts w:hint="eastAsia" w:ascii="仿宋_GB2312" w:hAnsi="仿宋_GB2312" w:eastAsia="仿宋_GB2312" w:cs="仿宋_GB2312"/>
          <w:i w:val="0"/>
          <w:iCs w:val="0"/>
          <w:color w:val="000000"/>
          <w:sz w:val="32"/>
          <w:szCs w:val="32"/>
          <w:highlight w:val="none"/>
          <w:u w:val="none"/>
        </w:rPr>
        <w:t>有权拒绝接受</w:t>
      </w:r>
      <w:r>
        <w:rPr>
          <w:rFonts w:hint="eastAsia" w:ascii="仿宋_GB2312" w:hAnsi="仿宋_GB2312" w:eastAsia="仿宋_GB2312" w:cs="仿宋_GB2312"/>
          <w:i w:val="0"/>
          <w:iCs w:val="0"/>
          <w:color w:val="000000"/>
          <w:sz w:val="32"/>
          <w:szCs w:val="32"/>
          <w:highlight w:val="none"/>
          <w:u w:val="none"/>
          <w:lang w:eastAsia="zh-CN"/>
        </w:rPr>
        <w:t>。</w:t>
      </w:r>
    </w:p>
    <w:p w14:paraId="7FFC454E">
      <w:pPr>
        <w:keepNext w:val="0"/>
        <w:keepLines w:val="0"/>
        <w:pageBreakBefore w:val="0"/>
        <w:kinsoku/>
        <w:wordWrap/>
        <w:overflowPunct/>
        <w:topLinePunct w:val="0"/>
        <w:autoSpaceDE/>
        <w:autoSpaceDN/>
        <w:bidi w:val="0"/>
        <w:adjustRightInd/>
        <w:snapToGrid w:val="0"/>
        <w:spacing w:line="480" w:lineRule="exact"/>
        <w:ind w:firstLine="640" w:firstLineChars="200"/>
        <w:jc w:val="both"/>
        <w:textAlignment w:val="auto"/>
        <w:rPr>
          <w:rFonts w:hint="eastAsia" w:ascii="仿宋_GB2312" w:hAnsi="仿宋_GB2312" w:eastAsia="仿宋_GB2312" w:cs="仿宋_GB2312"/>
          <w:i w:val="0"/>
          <w:iCs w:val="0"/>
          <w:color w:val="000000"/>
          <w:sz w:val="32"/>
          <w:szCs w:val="32"/>
          <w:highlight w:val="none"/>
          <w:u w:val="none"/>
        </w:rPr>
      </w:pPr>
      <w:r>
        <w:rPr>
          <w:rFonts w:hint="eastAsia" w:ascii="仿宋_GB2312" w:hAnsi="仿宋_GB2312" w:eastAsia="仿宋_GB2312" w:cs="仿宋_GB2312"/>
          <w:i w:val="0"/>
          <w:iCs w:val="0"/>
          <w:color w:val="000000"/>
          <w:sz w:val="32"/>
          <w:szCs w:val="32"/>
          <w:highlight w:val="none"/>
          <w:u w:val="none"/>
          <w:lang w:val="en-US" w:eastAsia="zh-CN"/>
        </w:rPr>
        <w:t>（3）合作商</w:t>
      </w:r>
      <w:r>
        <w:rPr>
          <w:rFonts w:hint="eastAsia" w:ascii="仿宋_GB2312" w:hAnsi="仿宋_GB2312" w:eastAsia="仿宋_GB2312" w:cs="仿宋_GB2312"/>
          <w:i w:val="0"/>
          <w:iCs w:val="0"/>
          <w:color w:val="000000"/>
          <w:sz w:val="32"/>
          <w:szCs w:val="32"/>
          <w:highlight w:val="none"/>
          <w:u w:val="none"/>
        </w:rPr>
        <w:t>所提供货物必须符合国家有关制作标准和工艺流程</w:t>
      </w:r>
      <w:r>
        <w:rPr>
          <w:rFonts w:hint="eastAsia" w:ascii="仿宋_GB2312" w:hAnsi="仿宋_GB2312" w:eastAsia="仿宋_GB2312" w:cs="仿宋_GB2312"/>
          <w:i w:val="0"/>
          <w:iCs w:val="0"/>
          <w:color w:val="000000"/>
          <w:sz w:val="32"/>
          <w:szCs w:val="32"/>
          <w:highlight w:val="none"/>
          <w:u w:val="none"/>
          <w:lang w:eastAsia="zh-CN"/>
        </w:rPr>
        <w:t>，</w:t>
      </w:r>
      <w:r>
        <w:rPr>
          <w:rFonts w:hint="eastAsia" w:ascii="仿宋_GB2312" w:hAnsi="仿宋_GB2312" w:eastAsia="仿宋_GB2312" w:cs="仿宋_GB2312"/>
          <w:i w:val="0"/>
          <w:iCs w:val="0"/>
          <w:color w:val="000000"/>
          <w:sz w:val="32"/>
          <w:szCs w:val="32"/>
          <w:highlight w:val="none"/>
          <w:u w:val="none"/>
        </w:rPr>
        <w:t>必须满足</w:t>
      </w:r>
      <w:r>
        <w:rPr>
          <w:rFonts w:hint="eastAsia" w:ascii="仿宋_GB2312" w:hAnsi="仿宋_GB2312" w:eastAsia="仿宋_GB2312" w:cs="仿宋_GB2312"/>
          <w:i w:val="0"/>
          <w:iCs w:val="0"/>
          <w:color w:val="000000"/>
          <w:sz w:val="32"/>
          <w:szCs w:val="32"/>
          <w:highlight w:val="none"/>
          <w:u w:val="none"/>
          <w:lang w:val="en-US" w:eastAsia="zh-CN"/>
        </w:rPr>
        <w:t>贵阳农商银行</w:t>
      </w:r>
      <w:r>
        <w:rPr>
          <w:rFonts w:hint="eastAsia" w:ascii="仿宋_GB2312" w:hAnsi="仿宋_GB2312" w:eastAsia="仿宋_GB2312" w:cs="仿宋_GB2312"/>
          <w:i w:val="0"/>
          <w:iCs w:val="0"/>
          <w:color w:val="000000"/>
          <w:sz w:val="32"/>
          <w:szCs w:val="32"/>
          <w:highlight w:val="none"/>
          <w:u w:val="none"/>
        </w:rPr>
        <w:t>提出的相关要求；各项技术标准应当符合国家（强制性）标准，国家没有相应标准和规范的，可使用行业标准和规定。</w:t>
      </w:r>
    </w:p>
    <w:p w14:paraId="2E331D8A">
      <w:pPr>
        <w:keepNext w:val="0"/>
        <w:keepLines w:val="0"/>
        <w:pageBreakBefore w:val="0"/>
        <w:kinsoku/>
        <w:wordWrap/>
        <w:overflowPunct/>
        <w:topLinePunct w:val="0"/>
        <w:autoSpaceDE/>
        <w:autoSpaceDN/>
        <w:bidi w:val="0"/>
        <w:adjustRightInd/>
        <w:snapToGrid w:val="0"/>
        <w:spacing w:line="480" w:lineRule="exact"/>
        <w:ind w:firstLine="640" w:firstLineChars="200"/>
        <w:jc w:val="both"/>
        <w:textAlignment w:val="auto"/>
        <w:rPr>
          <w:rFonts w:hint="eastAsia" w:ascii="仿宋_GB2312" w:hAnsi="仿宋_GB2312" w:eastAsia="仿宋_GB2312" w:cs="仿宋_GB2312"/>
          <w:i w:val="0"/>
          <w:iCs w:val="0"/>
          <w:color w:val="000000"/>
          <w:sz w:val="32"/>
          <w:szCs w:val="32"/>
          <w:highlight w:val="none"/>
          <w:u w:val="none"/>
        </w:rPr>
      </w:pPr>
      <w:r>
        <w:rPr>
          <w:rFonts w:hint="eastAsia" w:ascii="仿宋_GB2312" w:hAnsi="仿宋_GB2312" w:eastAsia="仿宋_GB2312" w:cs="仿宋_GB2312"/>
          <w:i w:val="0"/>
          <w:iCs w:val="0"/>
          <w:color w:val="000000"/>
          <w:sz w:val="32"/>
          <w:szCs w:val="32"/>
          <w:highlight w:val="none"/>
          <w:u w:val="none"/>
          <w:lang w:val="en-US" w:eastAsia="zh-CN"/>
        </w:rPr>
        <w:t>（4）合作商</w:t>
      </w:r>
      <w:r>
        <w:rPr>
          <w:rFonts w:hint="eastAsia" w:ascii="仿宋_GB2312" w:hAnsi="仿宋_GB2312" w:eastAsia="仿宋_GB2312" w:cs="仿宋_GB2312"/>
          <w:i w:val="0"/>
          <w:iCs w:val="0"/>
          <w:color w:val="000000"/>
          <w:sz w:val="32"/>
          <w:szCs w:val="32"/>
          <w:highlight w:val="none"/>
          <w:u w:val="none"/>
        </w:rPr>
        <w:t>应提供完备的资料、装箱单和合格证等，验收合格条件如下：</w:t>
      </w:r>
    </w:p>
    <w:p w14:paraId="5DD1FF28">
      <w:pPr>
        <w:keepNext w:val="0"/>
        <w:keepLines w:val="0"/>
        <w:pageBreakBefore w:val="0"/>
        <w:kinsoku/>
        <w:wordWrap/>
        <w:overflowPunct/>
        <w:topLinePunct w:val="0"/>
        <w:autoSpaceDE/>
        <w:autoSpaceDN/>
        <w:bidi w:val="0"/>
        <w:adjustRightInd/>
        <w:snapToGrid w:val="0"/>
        <w:spacing w:line="480" w:lineRule="exact"/>
        <w:ind w:firstLine="640" w:firstLineChars="200"/>
        <w:jc w:val="both"/>
        <w:textAlignment w:val="auto"/>
        <w:rPr>
          <w:rFonts w:hint="eastAsia" w:ascii="仿宋_GB2312" w:hAnsi="仿宋_GB2312" w:eastAsia="仿宋_GB2312" w:cs="仿宋_GB2312"/>
          <w:i w:val="0"/>
          <w:iCs w:val="0"/>
          <w:color w:val="000000"/>
          <w:sz w:val="32"/>
          <w:szCs w:val="32"/>
          <w:highlight w:val="none"/>
          <w:u w:val="none"/>
        </w:rPr>
      </w:pPr>
      <w:r>
        <w:rPr>
          <w:rFonts w:hint="eastAsia" w:ascii="仿宋_GB2312" w:hAnsi="仿宋_GB2312" w:eastAsia="仿宋_GB2312" w:cs="仿宋_GB2312"/>
          <w:i w:val="0"/>
          <w:iCs w:val="0"/>
          <w:color w:val="000000"/>
          <w:sz w:val="32"/>
          <w:szCs w:val="32"/>
          <w:highlight w:val="none"/>
          <w:u w:val="none"/>
          <w:lang w:val="en-US" w:eastAsia="zh-CN"/>
        </w:rPr>
        <w:t>①</w:t>
      </w:r>
      <w:r>
        <w:rPr>
          <w:rFonts w:hint="eastAsia" w:ascii="仿宋_GB2312" w:hAnsi="仿宋_GB2312" w:eastAsia="仿宋_GB2312" w:cs="仿宋_GB2312"/>
          <w:i w:val="0"/>
          <w:iCs w:val="0"/>
          <w:color w:val="000000"/>
          <w:sz w:val="32"/>
          <w:szCs w:val="32"/>
          <w:highlight w:val="none"/>
          <w:u w:val="none"/>
        </w:rPr>
        <w:t>货物数量与</w:t>
      </w:r>
      <w:r>
        <w:rPr>
          <w:rFonts w:hint="eastAsia" w:ascii="仿宋_GB2312" w:hAnsi="仿宋_GB2312" w:eastAsia="仿宋_GB2312" w:cs="仿宋_GB2312"/>
          <w:i w:val="0"/>
          <w:iCs w:val="0"/>
          <w:color w:val="000000"/>
          <w:sz w:val="32"/>
          <w:szCs w:val="32"/>
          <w:highlight w:val="none"/>
          <w:u w:val="none"/>
          <w:lang w:eastAsia="zh-CN"/>
        </w:rPr>
        <w:t>贵阳农商银行</w:t>
      </w:r>
      <w:r>
        <w:rPr>
          <w:rFonts w:hint="eastAsia" w:ascii="仿宋_GB2312" w:hAnsi="仿宋_GB2312" w:eastAsia="仿宋_GB2312" w:cs="仿宋_GB2312"/>
          <w:i w:val="0"/>
          <w:iCs w:val="0"/>
          <w:color w:val="000000"/>
          <w:sz w:val="32"/>
          <w:szCs w:val="32"/>
          <w:highlight w:val="none"/>
          <w:u w:val="none"/>
          <w:lang w:val="en-US" w:eastAsia="zh-CN"/>
        </w:rPr>
        <w:t>客户</w:t>
      </w:r>
      <w:r>
        <w:rPr>
          <w:rFonts w:hint="eastAsia" w:ascii="仿宋_GB2312" w:hAnsi="仿宋_GB2312" w:eastAsia="仿宋_GB2312" w:cs="仿宋_GB2312"/>
          <w:i w:val="0"/>
          <w:iCs w:val="0"/>
          <w:color w:val="000000"/>
          <w:sz w:val="32"/>
          <w:szCs w:val="32"/>
          <w:highlight w:val="none"/>
          <w:u w:val="none"/>
        </w:rPr>
        <w:t>需求一致，性能指标达到规定的标准。</w:t>
      </w:r>
    </w:p>
    <w:p w14:paraId="69F8A1D1">
      <w:pPr>
        <w:keepNext w:val="0"/>
        <w:keepLines w:val="0"/>
        <w:pageBreakBefore w:val="0"/>
        <w:kinsoku/>
        <w:wordWrap/>
        <w:overflowPunct/>
        <w:topLinePunct w:val="0"/>
        <w:autoSpaceDE/>
        <w:autoSpaceDN/>
        <w:bidi w:val="0"/>
        <w:adjustRightInd/>
        <w:snapToGrid w:val="0"/>
        <w:spacing w:line="480" w:lineRule="exact"/>
        <w:ind w:firstLine="640" w:firstLineChars="200"/>
        <w:jc w:val="both"/>
        <w:textAlignment w:val="auto"/>
        <w:rPr>
          <w:rFonts w:hint="eastAsia" w:ascii="仿宋_GB2312" w:hAnsi="仿宋_GB2312" w:eastAsia="仿宋_GB2312" w:cs="仿宋_GB2312"/>
          <w:i w:val="0"/>
          <w:iCs w:val="0"/>
          <w:color w:val="000000"/>
          <w:sz w:val="32"/>
          <w:szCs w:val="32"/>
          <w:highlight w:val="none"/>
          <w:u w:val="none"/>
        </w:rPr>
      </w:pPr>
      <w:r>
        <w:rPr>
          <w:rFonts w:hint="eastAsia" w:ascii="仿宋_GB2312" w:hAnsi="仿宋_GB2312" w:eastAsia="仿宋_GB2312" w:cs="仿宋_GB2312"/>
          <w:i w:val="0"/>
          <w:iCs w:val="0"/>
          <w:color w:val="000000"/>
          <w:sz w:val="32"/>
          <w:szCs w:val="32"/>
          <w:highlight w:val="none"/>
          <w:u w:val="none"/>
          <w:lang w:val="en-US" w:eastAsia="zh-CN"/>
        </w:rPr>
        <w:t>②</w:t>
      </w:r>
      <w:r>
        <w:rPr>
          <w:rFonts w:hint="eastAsia" w:ascii="仿宋_GB2312" w:hAnsi="仿宋_GB2312" w:eastAsia="仿宋_GB2312" w:cs="仿宋_GB2312"/>
          <w:i w:val="0"/>
          <w:iCs w:val="0"/>
          <w:color w:val="000000"/>
          <w:sz w:val="32"/>
          <w:szCs w:val="32"/>
          <w:highlight w:val="none"/>
          <w:u w:val="none"/>
        </w:rPr>
        <w:t>货物技术资料、装箱单等资料齐全。</w:t>
      </w:r>
    </w:p>
    <w:p w14:paraId="5B262D0C">
      <w:pPr>
        <w:keepNext w:val="0"/>
        <w:keepLines w:val="0"/>
        <w:pageBreakBefore w:val="0"/>
        <w:kinsoku/>
        <w:wordWrap/>
        <w:overflowPunct/>
        <w:topLinePunct w:val="0"/>
        <w:autoSpaceDE/>
        <w:autoSpaceDN/>
        <w:bidi w:val="0"/>
        <w:adjustRightInd/>
        <w:snapToGrid w:val="0"/>
        <w:spacing w:line="480" w:lineRule="exact"/>
        <w:ind w:firstLine="640" w:firstLineChars="200"/>
        <w:jc w:val="both"/>
        <w:textAlignment w:val="auto"/>
        <w:rPr>
          <w:rFonts w:hint="eastAsia" w:ascii="仿宋_GB2312" w:hAnsi="仿宋_GB2312" w:eastAsia="仿宋_GB2312" w:cs="仿宋_GB2312"/>
          <w:i w:val="0"/>
          <w:iCs w:val="0"/>
          <w:color w:val="000000"/>
          <w:sz w:val="32"/>
          <w:szCs w:val="32"/>
          <w:highlight w:val="none"/>
          <w:u w:val="none"/>
        </w:rPr>
      </w:pPr>
      <w:r>
        <w:rPr>
          <w:rFonts w:hint="eastAsia" w:ascii="仿宋_GB2312" w:hAnsi="仿宋_GB2312" w:eastAsia="仿宋_GB2312" w:cs="仿宋_GB2312"/>
          <w:i w:val="0"/>
          <w:iCs w:val="0"/>
          <w:color w:val="000000"/>
          <w:sz w:val="32"/>
          <w:szCs w:val="32"/>
          <w:highlight w:val="none"/>
          <w:u w:val="none"/>
          <w:lang w:val="en-US" w:eastAsia="zh-CN"/>
        </w:rPr>
        <w:t>③</w:t>
      </w:r>
      <w:r>
        <w:rPr>
          <w:rFonts w:hint="eastAsia" w:ascii="仿宋_GB2312" w:hAnsi="仿宋_GB2312" w:eastAsia="仿宋_GB2312" w:cs="仿宋_GB2312"/>
          <w:i w:val="0"/>
          <w:iCs w:val="0"/>
          <w:color w:val="000000"/>
          <w:sz w:val="32"/>
          <w:szCs w:val="32"/>
          <w:highlight w:val="none"/>
          <w:u w:val="none"/>
        </w:rPr>
        <w:t>在规定时间内交货和验收。</w:t>
      </w:r>
    </w:p>
    <w:p w14:paraId="21A8953B">
      <w:pPr>
        <w:keepNext w:val="0"/>
        <w:keepLines w:val="0"/>
        <w:pageBreakBefore w:val="0"/>
        <w:kinsoku/>
        <w:wordWrap/>
        <w:overflowPunct/>
        <w:topLinePunct w:val="0"/>
        <w:autoSpaceDE/>
        <w:autoSpaceDN/>
        <w:bidi w:val="0"/>
        <w:adjustRightInd/>
        <w:snapToGrid w:val="0"/>
        <w:spacing w:line="480" w:lineRule="exact"/>
        <w:ind w:firstLine="640" w:firstLineChars="200"/>
        <w:jc w:val="both"/>
        <w:textAlignment w:val="auto"/>
        <w:rPr>
          <w:rFonts w:hint="eastAsia" w:ascii="仿宋_GB2312" w:hAnsi="仿宋_GB2312" w:eastAsia="仿宋_GB2312" w:cs="仿宋_GB2312"/>
          <w:i w:val="0"/>
          <w:iCs w:val="0"/>
          <w:color w:val="000000"/>
          <w:sz w:val="32"/>
          <w:szCs w:val="32"/>
          <w:highlight w:val="none"/>
          <w:u w:val="none"/>
        </w:rPr>
      </w:pPr>
      <w:r>
        <w:rPr>
          <w:rFonts w:hint="eastAsia" w:ascii="仿宋_GB2312" w:hAnsi="仿宋_GB2312" w:eastAsia="仿宋_GB2312" w:cs="仿宋_GB2312"/>
          <w:i w:val="0"/>
          <w:iCs w:val="0"/>
          <w:color w:val="000000"/>
          <w:sz w:val="32"/>
          <w:szCs w:val="32"/>
          <w:highlight w:val="none"/>
          <w:u w:val="none"/>
          <w:lang w:val="en-US" w:eastAsia="zh-CN"/>
        </w:rPr>
        <w:t>④合作商</w:t>
      </w:r>
      <w:r>
        <w:rPr>
          <w:rFonts w:hint="eastAsia" w:ascii="仿宋_GB2312" w:hAnsi="仿宋_GB2312" w:eastAsia="仿宋_GB2312" w:cs="仿宋_GB2312"/>
          <w:i w:val="0"/>
          <w:iCs w:val="0"/>
          <w:color w:val="000000"/>
          <w:sz w:val="32"/>
          <w:szCs w:val="32"/>
          <w:highlight w:val="none"/>
          <w:u w:val="none"/>
        </w:rPr>
        <w:t>提供的货物未达到</w:t>
      </w:r>
      <w:r>
        <w:rPr>
          <w:rFonts w:hint="eastAsia" w:ascii="仿宋_GB2312" w:hAnsi="仿宋_GB2312" w:eastAsia="仿宋_GB2312" w:cs="仿宋_GB2312"/>
          <w:i w:val="0"/>
          <w:iCs w:val="0"/>
          <w:color w:val="000000"/>
          <w:sz w:val="32"/>
          <w:szCs w:val="32"/>
          <w:highlight w:val="none"/>
          <w:u w:val="none"/>
          <w:lang w:eastAsia="zh-CN"/>
        </w:rPr>
        <w:t>招商</w:t>
      </w:r>
      <w:r>
        <w:rPr>
          <w:rFonts w:hint="eastAsia" w:ascii="仿宋_GB2312" w:hAnsi="仿宋_GB2312" w:eastAsia="仿宋_GB2312" w:cs="仿宋_GB2312"/>
          <w:i w:val="0"/>
          <w:iCs w:val="0"/>
          <w:color w:val="000000"/>
          <w:sz w:val="32"/>
          <w:szCs w:val="32"/>
          <w:highlight w:val="none"/>
          <w:u w:val="none"/>
        </w:rPr>
        <w:t>文件规定要求，且对</w:t>
      </w:r>
      <w:r>
        <w:rPr>
          <w:rFonts w:hint="eastAsia" w:ascii="仿宋_GB2312" w:hAnsi="仿宋_GB2312" w:eastAsia="仿宋_GB2312" w:cs="仿宋_GB2312"/>
          <w:i w:val="0"/>
          <w:iCs w:val="0"/>
          <w:color w:val="000000"/>
          <w:sz w:val="32"/>
          <w:szCs w:val="32"/>
          <w:highlight w:val="none"/>
          <w:u w:val="none"/>
          <w:lang w:eastAsia="zh-CN"/>
        </w:rPr>
        <w:t>贵阳农商银行</w:t>
      </w:r>
      <w:r>
        <w:rPr>
          <w:rFonts w:hint="eastAsia" w:ascii="仿宋_GB2312" w:hAnsi="仿宋_GB2312" w:eastAsia="仿宋_GB2312" w:cs="仿宋_GB2312"/>
          <w:i w:val="0"/>
          <w:iCs w:val="0"/>
          <w:color w:val="000000"/>
          <w:sz w:val="32"/>
          <w:szCs w:val="32"/>
          <w:highlight w:val="none"/>
          <w:u w:val="none"/>
        </w:rPr>
        <w:t>造成损失的，由</w:t>
      </w:r>
      <w:r>
        <w:rPr>
          <w:rFonts w:hint="eastAsia" w:ascii="仿宋_GB2312" w:hAnsi="仿宋_GB2312" w:eastAsia="仿宋_GB2312" w:cs="仿宋_GB2312"/>
          <w:i w:val="0"/>
          <w:iCs w:val="0"/>
          <w:color w:val="000000"/>
          <w:sz w:val="32"/>
          <w:szCs w:val="32"/>
          <w:highlight w:val="none"/>
          <w:u w:val="none"/>
          <w:lang w:val="en-US" w:eastAsia="zh-CN"/>
        </w:rPr>
        <w:t>合作商</w:t>
      </w:r>
      <w:r>
        <w:rPr>
          <w:rFonts w:hint="eastAsia" w:ascii="仿宋_GB2312" w:hAnsi="仿宋_GB2312" w:eastAsia="仿宋_GB2312" w:cs="仿宋_GB2312"/>
          <w:i w:val="0"/>
          <w:iCs w:val="0"/>
          <w:color w:val="000000"/>
          <w:sz w:val="32"/>
          <w:szCs w:val="32"/>
          <w:highlight w:val="none"/>
          <w:u w:val="none"/>
        </w:rPr>
        <w:t>承担一切责任，并赔偿所造成的损失。</w:t>
      </w:r>
    </w:p>
    <w:p w14:paraId="4C059B35">
      <w:pPr>
        <w:keepNext w:val="0"/>
        <w:keepLines w:val="0"/>
        <w:pageBreakBefore w:val="0"/>
        <w:kinsoku/>
        <w:wordWrap/>
        <w:overflowPunct/>
        <w:topLinePunct w:val="0"/>
        <w:autoSpaceDE/>
        <w:autoSpaceDN/>
        <w:bidi w:val="0"/>
        <w:snapToGrid w:val="0"/>
        <w:spacing w:line="480" w:lineRule="exact"/>
        <w:ind w:firstLine="640" w:firstLineChars="200"/>
        <w:jc w:val="both"/>
        <w:textAlignment w:val="auto"/>
        <w:rPr>
          <w:rFonts w:hint="eastAsia" w:ascii="仿宋_GB2312" w:hAnsi="仿宋_GB2312" w:eastAsia="仿宋_GB2312" w:cs="仿宋_GB2312"/>
          <w:i w:val="0"/>
          <w:iCs w:val="0"/>
          <w:color w:val="000000"/>
          <w:sz w:val="32"/>
          <w:szCs w:val="32"/>
          <w:highlight w:val="none"/>
          <w:u w:val="none"/>
        </w:rPr>
      </w:pPr>
      <w:r>
        <w:rPr>
          <w:rFonts w:hint="eastAsia" w:ascii="仿宋_GB2312" w:hAnsi="仿宋_GB2312" w:eastAsia="仿宋_GB2312" w:cs="仿宋_GB2312"/>
          <w:i w:val="0"/>
          <w:iCs w:val="0"/>
          <w:color w:val="000000"/>
          <w:sz w:val="32"/>
          <w:szCs w:val="32"/>
          <w:highlight w:val="none"/>
          <w:u w:val="none"/>
          <w:lang w:val="en-US" w:eastAsia="zh-CN"/>
        </w:rPr>
        <w:t>⑤合作商</w:t>
      </w:r>
      <w:r>
        <w:rPr>
          <w:rFonts w:hint="eastAsia" w:ascii="仿宋_GB2312" w:hAnsi="仿宋_GB2312" w:eastAsia="仿宋_GB2312" w:cs="仿宋_GB2312"/>
          <w:i w:val="0"/>
          <w:iCs w:val="0"/>
          <w:color w:val="000000"/>
          <w:sz w:val="32"/>
          <w:szCs w:val="32"/>
          <w:highlight w:val="none"/>
          <w:u w:val="none"/>
        </w:rPr>
        <w:t>应保证所提供的所有货品必须是正品且全新的未经拆封的原厂包装</w:t>
      </w:r>
      <w:r>
        <w:rPr>
          <w:rFonts w:hint="eastAsia" w:ascii="仿宋_GB2312" w:hAnsi="仿宋_GB2312" w:eastAsia="仿宋_GB2312" w:cs="仿宋_GB2312"/>
          <w:i w:val="0"/>
          <w:iCs w:val="0"/>
          <w:color w:val="000000"/>
          <w:sz w:val="32"/>
          <w:szCs w:val="32"/>
          <w:highlight w:val="none"/>
          <w:u w:val="none"/>
          <w:lang w:eastAsia="zh-CN"/>
        </w:rPr>
        <w:t>，</w:t>
      </w:r>
      <w:r>
        <w:rPr>
          <w:rFonts w:hint="eastAsia" w:ascii="仿宋_GB2312" w:hAnsi="仿宋_GB2312" w:eastAsia="仿宋_GB2312" w:cs="仿宋_GB2312"/>
          <w:i w:val="0"/>
          <w:iCs w:val="0"/>
          <w:color w:val="000000"/>
          <w:sz w:val="32"/>
          <w:szCs w:val="32"/>
          <w:highlight w:val="none"/>
          <w:u w:val="none"/>
        </w:rPr>
        <w:t>不得以任何原因和借口，提供假冒伪劣产品。</w:t>
      </w:r>
    </w:p>
    <w:p w14:paraId="58AE7173">
      <w:pPr>
        <w:pStyle w:val="2"/>
        <w:keepNext w:val="0"/>
        <w:keepLines w:val="0"/>
        <w:pageBreakBefore w:val="0"/>
        <w:kinsoku/>
        <w:wordWrap/>
        <w:overflowPunct/>
        <w:topLinePunct w:val="0"/>
        <w:autoSpaceDE/>
        <w:autoSpaceDN/>
        <w:bidi w:val="0"/>
        <w:spacing w:after="0" w:line="480" w:lineRule="exact"/>
        <w:ind w:firstLine="640" w:firstLineChars="200"/>
        <w:textAlignment w:val="auto"/>
        <w:rPr>
          <w:rFonts w:hint="eastAsia" w:ascii="仿宋_GB2312" w:hAnsi="仿宋_GB2312" w:eastAsia="仿宋_GB2312" w:cs="仿宋_GB2312"/>
          <w:color w:val="000000"/>
          <w:sz w:val="32"/>
          <w:szCs w:val="32"/>
          <w:highlight w:val="none"/>
          <w:u w:val="none"/>
        </w:rPr>
      </w:pPr>
      <w:r>
        <w:rPr>
          <w:rFonts w:hint="eastAsia" w:ascii="仿宋_GB2312" w:hAnsi="仿宋_GB2312" w:eastAsia="仿宋_GB2312" w:cs="仿宋_GB2312"/>
          <w:i w:val="0"/>
          <w:iCs w:val="0"/>
          <w:color w:val="000000"/>
          <w:sz w:val="32"/>
          <w:szCs w:val="32"/>
          <w:highlight w:val="none"/>
          <w:u w:val="none"/>
          <w:lang w:val="en-US" w:eastAsia="zh-CN"/>
        </w:rPr>
        <w:t>2.合作商</w:t>
      </w:r>
      <w:r>
        <w:rPr>
          <w:rFonts w:hint="eastAsia" w:ascii="仿宋_GB2312" w:hAnsi="仿宋_GB2312" w:eastAsia="仿宋_GB2312" w:cs="仿宋_GB2312"/>
          <w:color w:val="000000"/>
          <w:sz w:val="32"/>
          <w:szCs w:val="32"/>
          <w:highlight w:val="none"/>
          <w:u w:val="none"/>
        </w:rPr>
        <w:t>应按照《中华人民共和国产品质量法》、《中华人民共和国食品安全法》、《中华人民共和国消费者权益保护法》及其他法律法规的要求提供“三包”等售后服务。</w:t>
      </w:r>
    </w:p>
    <w:p w14:paraId="26F4C100">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i w:val="0"/>
          <w:iCs w:val="0"/>
          <w:color w:val="auto"/>
          <w:sz w:val="32"/>
          <w:szCs w:val="32"/>
          <w:highlight w:val="none"/>
          <w:u w:val="none"/>
          <w:lang w:val="en-US" w:eastAsia="zh-CN"/>
        </w:rPr>
      </w:pPr>
      <w:r>
        <w:rPr>
          <w:rFonts w:hint="eastAsia" w:ascii="仿宋_GB2312" w:hAnsi="仿宋_GB2312" w:eastAsia="仿宋_GB2312" w:cs="仿宋_GB2312"/>
          <w:i w:val="0"/>
          <w:iCs w:val="0"/>
          <w:color w:val="auto"/>
          <w:sz w:val="32"/>
          <w:szCs w:val="32"/>
          <w:highlight w:val="none"/>
          <w:u w:val="none"/>
          <w:lang w:val="en-US" w:eastAsia="zh-CN"/>
        </w:rPr>
        <w:t>3.退换货服务：</w:t>
      </w:r>
    </w:p>
    <w:p w14:paraId="49EE0041">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default" w:ascii="仿宋_GB2312" w:hAnsi="仿宋_GB2312" w:eastAsia="仿宋_GB2312" w:cs="仿宋_GB2312"/>
          <w:strike w:val="0"/>
          <w:dstrike w:val="0"/>
          <w:color w:val="auto"/>
          <w:sz w:val="32"/>
          <w:szCs w:val="32"/>
          <w:highlight w:val="none"/>
          <w:u w:val="none"/>
          <w:lang w:val="en-US" w:eastAsia="zh-CN"/>
        </w:rPr>
      </w:pPr>
      <w:r>
        <w:rPr>
          <w:rFonts w:hint="eastAsia" w:ascii="仿宋_GB2312" w:hAnsi="仿宋_GB2312" w:eastAsia="仿宋_GB2312" w:cs="仿宋_GB2312"/>
          <w:i w:val="0"/>
          <w:iCs w:val="0"/>
          <w:color w:val="auto"/>
          <w:sz w:val="32"/>
          <w:szCs w:val="32"/>
          <w:highlight w:val="none"/>
          <w:u w:val="none"/>
          <w:lang w:val="en-US" w:eastAsia="zh-CN"/>
        </w:rPr>
        <w:t>（1）生鲜类：合作商需提供生鲜类商品24小时内无理由退换货服务，且提供上门退换货服务；</w:t>
      </w:r>
    </w:p>
    <w:p w14:paraId="1A983E93">
      <w:pPr>
        <w:keepNext w:val="0"/>
        <w:keepLines w:val="0"/>
        <w:pageBreakBefore w:val="0"/>
        <w:widowControl/>
        <w:kinsoku/>
        <w:wordWrap/>
        <w:overflowPunct/>
        <w:topLinePunct w:val="0"/>
        <w:autoSpaceDE/>
        <w:autoSpaceDN/>
        <w:bidi w:val="0"/>
        <w:adjustRightInd w:val="0"/>
        <w:snapToGrid w:val="0"/>
        <w:spacing w:line="480" w:lineRule="exact"/>
        <w:ind w:firstLine="640" w:firstLineChars="200"/>
        <w:jc w:val="both"/>
        <w:textAlignment w:val="auto"/>
        <w:rPr>
          <w:rFonts w:hint="eastAsia" w:ascii="仿宋_GB2312" w:hAnsi="仿宋_GB2312" w:eastAsia="仿宋_GB2312" w:cs="仿宋_GB2312"/>
          <w:strike w:val="0"/>
          <w:dstrike w:val="0"/>
          <w:color w:val="auto"/>
          <w:sz w:val="32"/>
          <w:szCs w:val="32"/>
          <w:highlight w:val="none"/>
          <w:u w:val="none"/>
          <w:lang w:val="en-US" w:eastAsia="zh-CN"/>
        </w:rPr>
      </w:pPr>
      <w:r>
        <w:rPr>
          <w:rFonts w:hint="eastAsia" w:ascii="仿宋_GB2312" w:hAnsi="仿宋_GB2312" w:eastAsia="仿宋_GB2312" w:cs="仿宋_GB2312"/>
          <w:strike w:val="0"/>
          <w:dstrike w:val="0"/>
          <w:color w:val="auto"/>
          <w:sz w:val="32"/>
          <w:szCs w:val="32"/>
          <w:highlight w:val="none"/>
          <w:u w:val="none"/>
          <w:lang w:val="en-US" w:eastAsia="zh-CN"/>
        </w:rPr>
        <w:t>（2）非生鲜类：合作商提供非生鲜类商品10个工作日（含）内无理由退换货服务，且提供上门退换货服务。</w:t>
      </w:r>
    </w:p>
    <w:p w14:paraId="7E486BAB">
      <w:pPr>
        <w:keepNext w:val="0"/>
        <w:keepLines w:val="0"/>
        <w:pageBreakBefore w:val="0"/>
        <w:kinsoku/>
        <w:wordWrap/>
        <w:overflowPunct/>
        <w:topLinePunct w:val="0"/>
        <w:autoSpaceDE/>
        <w:autoSpaceDN/>
        <w:bidi w:val="0"/>
        <w:spacing w:line="480" w:lineRule="exact"/>
        <w:ind w:firstLine="640" w:firstLineChars="200"/>
        <w:jc w:val="both"/>
        <w:textAlignment w:val="auto"/>
        <w:rPr>
          <w:rFonts w:hint="eastAsia" w:ascii="仿宋_GB2312" w:hAnsi="仿宋_GB2312" w:eastAsia="仿宋_GB2312" w:cs="仿宋_GB2312"/>
          <w:i w:val="0"/>
          <w:iCs w:val="0"/>
          <w:color w:val="auto"/>
          <w:sz w:val="32"/>
          <w:szCs w:val="32"/>
          <w:highlight w:val="none"/>
          <w:u w:val="none"/>
          <w:lang w:val="en-US" w:eastAsia="zh-CN"/>
        </w:rPr>
      </w:pPr>
      <w:r>
        <w:rPr>
          <w:rFonts w:hint="eastAsia" w:ascii="仿宋_GB2312" w:hAnsi="仿宋_GB2312" w:eastAsia="仿宋_GB2312" w:cs="仿宋_GB2312"/>
          <w:i w:val="0"/>
          <w:iCs w:val="0"/>
          <w:color w:val="auto"/>
          <w:sz w:val="32"/>
          <w:szCs w:val="32"/>
          <w:highlight w:val="none"/>
          <w:u w:val="none"/>
          <w:lang w:val="en-US" w:eastAsia="zh-CN"/>
        </w:rPr>
        <w:t>退换货服务其他具体细则在合同中进行相应约定。</w:t>
      </w:r>
    </w:p>
    <w:p w14:paraId="7FA70FE1">
      <w:pPr>
        <w:keepNext w:val="0"/>
        <w:keepLines w:val="0"/>
        <w:pageBreakBefore w:val="0"/>
        <w:kinsoku/>
        <w:wordWrap/>
        <w:overflowPunct/>
        <w:topLinePunct w:val="0"/>
        <w:autoSpaceDE/>
        <w:autoSpaceDN/>
        <w:bidi w:val="0"/>
        <w:spacing w:line="480" w:lineRule="exact"/>
        <w:ind w:firstLine="640" w:firstLineChars="200"/>
        <w:jc w:val="both"/>
        <w:textAlignment w:val="auto"/>
        <w:rPr>
          <w:rFonts w:hint="eastAsia" w:ascii="仿宋_GB2312" w:hAnsi="仿宋_GB2312" w:eastAsia="仿宋_GB2312" w:cs="仿宋_GB2312"/>
          <w:i w:val="0"/>
          <w:iCs w:val="0"/>
          <w:color w:val="000000"/>
          <w:sz w:val="32"/>
          <w:szCs w:val="32"/>
          <w:highlight w:val="none"/>
          <w:u w:val="none"/>
        </w:rPr>
      </w:pPr>
      <w:r>
        <w:rPr>
          <w:rFonts w:hint="eastAsia" w:ascii="仿宋_GB2312" w:hAnsi="仿宋_GB2312" w:eastAsia="仿宋_GB2312" w:cs="仿宋_GB2312"/>
          <w:i w:val="0"/>
          <w:iCs w:val="0"/>
          <w:color w:val="000000"/>
          <w:sz w:val="32"/>
          <w:szCs w:val="32"/>
          <w:highlight w:val="none"/>
          <w:u w:val="none"/>
          <w:lang w:val="en-US" w:eastAsia="zh-CN"/>
        </w:rPr>
        <w:t>4.</w:t>
      </w:r>
      <w:r>
        <w:rPr>
          <w:rFonts w:hint="eastAsia" w:ascii="仿宋_GB2312" w:hAnsi="仿宋_GB2312" w:eastAsia="仿宋_GB2312" w:cs="仿宋_GB2312"/>
          <w:i w:val="0"/>
          <w:iCs w:val="0"/>
          <w:color w:val="000000"/>
          <w:sz w:val="32"/>
          <w:szCs w:val="32"/>
          <w:highlight w:val="none"/>
          <w:u w:val="none"/>
        </w:rPr>
        <w:t>电话咨询：</w:t>
      </w:r>
      <w:r>
        <w:rPr>
          <w:rFonts w:hint="eastAsia" w:ascii="仿宋_GB2312" w:hAnsi="仿宋_GB2312" w:eastAsia="仿宋_GB2312" w:cs="仿宋_GB2312"/>
          <w:i w:val="0"/>
          <w:iCs w:val="0"/>
          <w:color w:val="000000"/>
          <w:sz w:val="32"/>
          <w:szCs w:val="32"/>
          <w:highlight w:val="none"/>
          <w:u w:val="none"/>
          <w:lang w:val="en-US" w:eastAsia="zh-CN"/>
        </w:rPr>
        <w:t>合作商</w:t>
      </w:r>
      <w:r>
        <w:rPr>
          <w:rFonts w:hint="eastAsia" w:ascii="仿宋_GB2312" w:hAnsi="仿宋_GB2312" w:eastAsia="仿宋_GB2312" w:cs="仿宋_GB2312"/>
          <w:i w:val="0"/>
          <w:iCs w:val="0"/>
          <w:color w:val="000000"/>
          <w:sz w:val="32"/>
          <w:szCs w:val="32"/>
          <w:highlight w:val="none"/>
          <w:u w:val="none"/>
        </w:rPr>
        <w:t>应当为</w:t>
      </w:r>
      <w:r>
        <w:rPr>
          <w:rFonts w:hint="eastAsia" w:ascii="仿宋_GB2312" w:hAnsi="仿宋_GB2312" w:eastAsia="仿宋_GB2312" w:cs="仿宋_GB2312"/>
          <w:i w:val="0"/>
          <w:iCs w:val="0"/>
          <w:color w:val="000000"/>
          <w:sz w:val="32"/>
          <w:szCs w:val="32"/>
          <w:highlight w:val="none"/>
          <w:u w:val="none"/>
          <w:lang w:eastAsia="zh-CN"/>
        </w:rPr>
        <w:t>贵阳农商银行</w:t>
      </w:r>
      <w:r>
        <w:rPr>
          <w:rFonts w:hint="eastAsia" w:ascii="仿宋_GB2312" w:hAnsi="仿宋_GB2312" w:eastAsia="仿宋_GB2312" w:cs="仿宋_GB2312"/>
          <w:i w:val="0"/>
          <w:iCs w:val="0"/>
          <w:color w:val="000000"/>
          <w:sz w:val="32"/>
          <w:szCs w:val="32"/>
          <w:highlight w:val="none"/>
          <w:u w:val="none"/>
        </w:rPr>
        <w:t>提供技术援助电话，解答</w:t>
      </w:r>
      <w:r>
        <w:rPr>
          <w:rFonts w:hint="eastAsia" w:ascii="仿宋_GB2312" w:hAnsi="仿宋_GB2312" w:eastAsia="仿宋_GB2312" w:cs="仿宋_GB2312"/>
          <w:i w:val="0"/>
          <w:iCs w:val="0"/>
          <w:color w:val="000000"/>
          <w:sz w:val="32"/>
          <w:szCs w:val="32"/>
          <w:highlight w:val="none"/>
          <w:u w:val="none"/>
          <w:lang w:eastAsia="zh-CN"/>
        </w:rPr>
        <w:t>贵阳农商银行</w:t>
      </w:r>
      <w:r>
        <w:rPr>
          <w:rFonts w:hint="eastAsia" w:ascii="仿宋_GB2312" w:hAnsi="仿宋_GB2312" w:eastAsia="仿宋_GB2312" w:cs="仿宋_GB2312"/>
          <w:i w:val="0"/>
          <w:iCs w:val="0"/>
          <w:color w:val="000000"/>
          <w:sz w:val="32"/>
          <w:szCs w:val="32"/>
          <w:highlight w:val="none"/>
          <w:u w:val="none"/>
          <w:lang w:val="en-US" w:eastAsia="zh-CN"/>
        </w:rPr>
        <w:t>客户</w:t>
      </w:r>
      <w:r>
        <w:rPr>
          <w:rFonts w:hint="eastAsia" w:ascii="仿宋_GB2312" w:hAnsi="仿宋_GB2312" w:eastAsia="仿宋_GB2312" w:cs="仿宋_GB2312"/>
          <w:i w:val="0"/>
          <w:iCs w:val="0"/>
          <w:color w:val="000000"/>
          <w:sz w:val="32"/>
          <w:szCs w:val="32"/>
          <w:highlight w:val="none"/>
          <w:u w:val="none"/>
        </w:rPr>
        <w:t>在使用中遇到的问题，及时为</w:t>
      </w:r>
      <w:r>
        <w:rPr>
          <w:rFonts w:hint="eastAsia" w:ascii="仿宋_GB2312" w:hAnsi="仿宋_GB2312" w:eastAsia="仿宋_GB2312" w:cs="仿宋_GB2312"/>
          <w:i w:val="0"/>
          <w:iCs w:val="0"/>
          <w:color w:val="000000"/>
          <w:sz w:val="32"/>
          <w:szCs w:val="32"/>
          <w:highlight w:val="none"/>
          <w:u w:val="none"/>
          <w:lang w:eastAsia="zh-CN"/>
        </w:rPr>
        <w:t>贵阳农商银行</w:t>
      </w:r>
      <w:r>
        <w:rPr>
          <w:rFonts w:hint="eastAsia" w:ascii="仿宋_GB2312" w:hAnsi="仿宋_GB2312" w:eastAsia="仿宋_GB2312" w:cs="仿宋_GB2312"/>
          <w:i w:val="0"/>
          <w:iCs w:val="0"/>
          <w:color w:val="000000"/>
          <w:sz w:val="32"/>
          <w:szCs w:val="32"/>
          <w:highlight w:val="none"/>
          <w:u w:val="none"/>
          <w:lang w:val="en-US" w:eastAsia="zh-CN"/>
        </w:rPr>
        <w:t>客户</w:t>
      </w:r>
      <w:r>
        <w:rPr>
          <w:rFonts w:hint="eastAsia" w:ascii="仿宋_GB2312" w:hAnsi="仿宋_GB2312" w:eastAsia="仿宋_GB2312" w:cs="仿宋_GB2312"/>
          <w:i w:val="0"/>
          <w:iCs w:val="0"/>
          <w:color w:val="000000"/>
          <w:sz w:val="32"/>
          <w:szCs w:val="32"/>
          <w:highlight w:val="none"/>
          <w:u w:val="none"/>
        </w:rPr>
        <w:t>提出解决问题的建议。</w:t>
      </w:r>
    </w:p>
    <w:p w14:paraId="48EC5601">
      <w:pPr>
        <w:keepNext w:val="0"/>
        <w:keepLines w:val="0"/>
        <w:pageBreakBefore w:val="0"/>
        <w:kinsoku/>
        <w:wordWrap/>
        <w:overflowPunct/>
        <w:topLinePunct w:val="0"/>
        <w:autoSpaceDE/>
        <w:autoSpaceDN/>
        <w:bidi w:val="0"/>
        <w:spacing w:line="480" w:lineRule="exact"/>
        <w:ind w:firstLine="640" w:firstLineChars="200"/>
        <w:jc w:val="both"/>
        <w:textAlignment w:val="auto"/>
        <w:rPr>
          <w:rFonts w:hint="eastAsia" w:ascii="仿宋_GB2312" w:hAnsi="仿宋_GB2312" w:eastAsia="仿宋_GB2312" w:cs="仿宋_GB2312"/>
          <w:i w:val="0"/>
          <w:iCs w:val="0"/>
          <w:color w:val="000000"/>
          <w:sz w:val="32"/>
          <w:szCs w:val="32"/>
          <w:highlight w:val="none"/>
          <w:u w:val="none"/>
        </w:rPr>
      </w:pPr>
      <w:r>
        <w:rPr>
          <w:rFonts w:hint="eastAsia" w:ascii="仿宋_GB2312" w:hAnsi="仿宋_GB2312" w:eastAsia="仿宋_GB2312" w:cs="仿宋_GB2312"/>
          <w:i w:val="0"/>
          <w:iCs w:val="0"/>
          <w:color w:val="000000"/>
          <w:sz w:val="32"/>
          <w:szCs w:val="32"/>
          <w:highlight w:val="none"/>
          <w:u w:val="none"/>
          <w:lang w:val="en-US" w:eastAsia="zh-CN"/>
        </w:rPr>
        <w:t>5.</w:t>
      </w:r>
      <w:r>
        <w:rPr>
          <w:rFonts w:hint="eastAsia" w:ascii="仿宋_GB2312" w:hAnsi="仿宋_GB2312" w:eastAsia="仿宋_GB2312" w:cs="仿宋_GB2312"/>
          <w:i w:val="0"/>
          <w:iCs w:val="0"/>
          <w:color w:val="000000"/>
          <w:sz w:val="32"/>
          <w:szCs w:val="32"/>
          <w:highlight w:val="none"/>
          <w:u w:val="none"/>
        </w:rPr>
        <w:t>服务响应时间：</w:t>
      </w:r>
      <w:r>
        <w:rPr>
          <w:rFonts w:hint="eastAsia" w:ascii="仿宋_GB2312" w:hAnsi="仿宋_GB2312" w:eastAsia="仿宋_GB2312" w:cs="仿宋_GB2312"/>
          <w:i w:val="0"/>
          <w:iCs w:val="0"/>
          <w:color w:val="000000"/>
          <w:sz w:val="32"/>
          <w:szCs w:val="32"/>
          <w:highlight w:val="none"/>
          <w:u w:val="none"/>
          <w:lang w:val="en-US" w:eastAsia="zh-CN"/>
        </w:rPr>
        <w:t>合作商</w:t>
      </w:r>
      <w:r>
        <w:rPr>
          <w:rFonts w:hint="eastAsia" w:ascii="仿宋_GB2312" w:hAnsi="仿宋_GB2312" w:eastAsia="仿宋_GB2312" w:cs="仿宋_GB2312"/>
          <w:i w:val="0"/>
          <w:iCs w:val="0"/>
          <w:color w:val="000000"/>
          <w:sz w:val="32"/>
          <w:szCs w:val="32"/>
          <w:highlight w:val="none"/>
          <w:u w:val="none"/>
        </w:rPr>
        <w:t>须保证在接到通知后及时提供服务，服务响应时间为2小时，</w:t>
      </w:r>
      <w:r>
        <w:rPr>
          <w:rFonts w:hint="eastAsia" w:ascii="仿宋_GB2312" w:hAnsi="仿宋_GB2312" w:eastAsia="仿宋_GB2312" w:cs="仿宋_GB2312"/>
          <w:i w:val="0"/>
          <w:iCs w:val="0"/>
          <w:color w:val="000000"/>
          <w:sz w:val="32"/>
          <w:szCs w:val="32"/>
          <w:highlight w:val="none"/>
          <w:u w:val="none"/>
          <w:lang w:val="en-US" w:eastAsia="zh-CN"/>
        </w:rPr>
        <w:t>合作商</w:t>
      </w:r>
      <w:r>
        <w:rPr>
          <w:rFonts w:hint="eastAsia" w:ascii="仿宋_GB2312" w:hAnsi="仿宋_GB2312" w:eastAsia="仿宋_GB2312" w:cs="仿宋_GB2312"/>
          <w:i w:val="0"/>
          <w:iCs w:val="0"/>
          <w:color w:val="000000"/>
          <w:sz w:val="32"/>
          <w:szCs w:val="32"/>
          <w:highlight w:val="none"/>
          <w:u w:val="none"/>
        </w:rPr>
        <w:t>应承诺提供7x24小时服务。</w:t>
      </w:r>
    </w:p>
    <w:p w14:paraId="29DB96B6">
      <w:pPr>
        <w:keepNext w:val="0"/>
        <w:keepLines w:val="0"/>
        <w:pageBreakBefore w:val="0"/>
        <w:kinsoku/>
        <w:wordWrap/>
        <w:overflowPunct/>
        <w:topLinePunct w:val="0"/>
        <w:autoSpaceDE/>
        <w:autoSpaceDN/>
        <w:bidi w:val="0"/>
        <w:snapToGrid w:val="0"/>
        <w:spacing w:line="480" w:lineRule="exact"/>
        <w:ind w:firstLine="640" w:firstLineChars="200"/>
        <w:jc w:val="both"/>
        <w:textAlignment w:val="auto"/>
        <w:rPr>
          <w:rFonts w:hint="eastAsia" w:ascii="仿宋_GB2312" w:hAnsi="仿宋_GB2312" w:eastAsia="仿宋_GB2312" w:cs="仿宋_GB2312"/>
          <w:i w:val="0"/>
          <w:iCs w:val="0"/>
          <w:color w:val="000000"/>
          <w:sz w:val="32"/>
          <w:szCs w:val="32"/>
          <w:highlight w:val="none"/>
          <w:u w:val="none"/>
        </w:rPr>
      </w:pPr>
      <w:r>
        <w:rPr>
          <w:rFonts w:hint="eastAsia" w:ascii="仿宋_GB2312" w:hAnsi="仿宋_GB2312" w:eastAsia="仿宋_GB2312" w:cs="仿宋_GB2312"/>
          <w:i w:val="0"/>
          <w:iCs w:val="0"/>
          <w:color w:val="000000"/>
          <w:sz w:val="32"/>
          <w:szCs w:val="32"/>
          <w:highlight w:val="none"/>
          <w:u w:val="none"/>
          <w:lang w:val="en-US" w:eastAsia="zh-CN"/>
        </w:rPr>
        <w:t>6.</w:t>
      </w:r>
      <w:r>
        <w:rPr>
          <w:rFonts w:hint="eastAsia" w:ascii="仿宋_GB2312" w:hAnsi="仿宋_GB2312" w:eastAsia="仿宋_GB2312" w:cs="仿宋_GB2312"/>
          <w:i w:val="0"/>
          <w:iCs w:val="0"/>
          <w:color w:val="000000"/>
          <w:sz w:val="32"/>
          <w:szCs w:val="32"/>
          <w:highlight w:val="none"/>
          <w:u w:val="none"/>
          <w:lang w:eastAsia="zh-CN"/>
        </w:rPr>
        <w:t>贵阳农商银行</w:t>
      </w:r>
      <w:r>
        <w:rPr>
          <w:rFonts w:hint="eastAsia" w:ascii="仿宋_GB2312" w:hAnsi="仿宋_GB2312" w:eastAsia="仿宋_GB2312" w:cs="仿宋_GB2312"/>
          <w:i w:val="0"/>
          <w:iCs w:val="0"/>
          <w:color w:val="000000"/>
          <w:sz w:val="32"/>
          <w:szCs w:val="32"/>
          <w:highlight w:val="none"/>
          <w:u w:val="none"/>
          <w:lang w:val="en-US" w:eastAsia="zh-CN"/>
        </w:rPr>
        <w:t>客户</w:t>
      </w:r>
      <w:r>
        <w:rPr>
          <w:rFonts w:hint="eastAsia" w:ascii="仿宋_GB2312" w:hAnsi="仿宋_GB2312" w:eastAsia="仿宋_GB2312" w:cs="仿宋_GB2312"/>
          <w:i w:val="0"/>
          <w:iCs w:val="0"/>
          <w:color w:val="000000"/>
          <w:sz w:val="32"/>
          <w:szCs w:val="32"/>
          <w:highlight w:val="none"/>
          <w:u w:val="none"/>
        </w:rPr>
        <w:t>发现商品出现损坏</w:t>
      </w:r>
      <w:r>
        <w:rPr>
          <w:rFonts w:hint="eastAsia" w:ascii="仿宋_GB2312" w:hAnsi="仿宋_GB2312" w:eastAsia="仿宋_GB2312" w:cs="仿宋_GB2312"/>
          <w:i w:val="0"/>
          <w:iCs w:val="0"/>
          <w:color w:val="000000"/>
          <w:sz w:val="32"/>
          <w:szCs w:val="32"/>
          <w:highlight w:val="none"/>
          <w:u w:val="none"/>
          <w:lang w:eastAsia="zh-CN"/>
        </w:rPr>
        <w:t>（</w:t>
      </w:r>
      <w:r>
        <w:rPr>
          <w:rFonts w:hint="eastAsia" w:ascii="仿宋_GB2312" w:hAnsi="仿宋_GB2312" w:eastAsia="仿宋_GB2312" w:cs="仿宋_GB2312"/>
          <w:i w:val="0"/>
          <w:iCs w:val="0"/>
          <w:color w:val="000000"/>
          <w:sz w:val="32"/>
          <w:szCs w:val="32"/>
          <w:highlight w:val="none"/>
          <w:u w:val="none"/>
        </w:rPr>
        <w:t>包括表面损坏</w:t>
      </w:r>
      <w:r>
        <w:rPr>
          <w:rFonts w:hint="eastAsia" w:ascii="仿宋_GB2312" w:hAnsi="仿宋_GB2312" w:eastAsia="仿宋_GB2312" w:cs="仿宋_GB2312"/>
          <w:i w:val="0"/>
          <w:iCs w:val="0"/>
          <w:color w:val="000000"/>
          <w:sz w:val="32"/>
          <w:szCs w:val="32"/>
          <w:highlight w:val="none"/>
          <w:u w:val="none"/>
          <w:lang w:eastAsia="zh-CN"/>
        </w:rPr>
        <w:t>）</w:t>
      </w:r>
      <w:r>
        <w:rPr>
          <w:rFonts w:hint="eastAsia" w:ascii="仿宋_GB2312" w:hAnsi="仿宋_GB2312" w:eastAsia="仿宋_GB2312" w:cs="仿宋_GB2312"/>
          <w:i w:val="0"/>
          <w:iCs w:val="0"/>
          <w:color w:val="000000"/>
          <w:sz w:val="32"/>
          <w:szCs w:val="32"/>
          <w:highlight w:val="none"/>
          <w:u w:val="none"/>
        </w:rPr>
        <w:t>，或出现破损、</w:t>
      </w:r>
      <w:r>
        <w:rPr>
          <w:rFonts w:hint="eastAsia" w:ascii="仿宋_GB2312" w:hAnsi="仿宋_GB2312" w:eastAsia="仿宋_GB2312" w:cs="仿宋_GB2312"/>
          <w:i w:val="0"/>
          <w:iCs w:val="0"/>
          <w:color w:val="000000"/>
          <w:sz w:val="32"/>
          <w:szCs w:val="32"/>
          <w:highlight w:val="none"/>
          <w:u w:val="none"/>
          <w:lang w:val="en-US" w:eastAsia="zh-CN"/>
        </w:rPr>
        <w:t>变质</w:t>
      </w:r>
      <w:r>
        <w:rPr>
          <w:rFonts w:hint="eastAsia" w:ascii="仿宋_GB2312" w:hAnsi="仿宋_GB2312" w:eastAsia="仿宋_GB2312" w:cs="仿宋_GB2312"/>
          <w:i w:val="0"/>
          <w:iCs w:val="0"/>
          <w:color w:val="000000"/>
          <w:sz w:val="32"/>
          <w:szCs w:val="32"/>
          <w:highlight w:val="none"/>
          <w:u w:val="none"/>
        </w:rPr>
        <w:t>、串味、受潮等导致货物性质改变的，</w:t>
      </w:r>
      <w:r>
        <w:rPr>
          <w:rFonts w:hint="eastAsia" w:ascii="仿宋_GB2312" w:hAnsi="仿宋_GB2312" w:eastAsia="仿宋_GB2312" w:cs="仿宋_GB2312"/>
          <w:i w:val="0"/>
          <w:iCs w:val="0"/>
          <w:color w:val="000000"/>
          <w:sz w:val="32"/>
          <w:szCs w:val="32"/>
          <w:highlight w:val="none"/>
          <w:u w:val="none"/>
          <w:lang w:eastAsia="zh-CN"/>
        </w:rPr>
        <w:t>合作商</w:t>
      </w:r>
      <w:r>
        <w:rPr>
          <w:rFonts w:hint="eastAsia" w:ascii="仿宋_GB2312" w:hAnsi="仿宋_GB2312" w:eastAsia="仿宋_GB2312" w:cs="仿宋_GB2312"/>
          <w:i w:val="0"/>
          <w:iCs w:val="0"/>
          <w:color w:val="000000"/>
          <w:sz w:val="32"/>
          <w:szCs w:val="32"/>
          <w:highlight w:val="none"/>
          <w:u w:val="none"/>
        </w:rPr>
        <w:t>必须无条件退货或更换商品</w:t>
      </w:r>
      <w:r>
        <w:rPr>
          <w:rFonts w:hint="eastAsia" w:ascii="仿宋_GB2312" w:hAnsi="仿宋_GB2312" w:eastAsia="仿宋_GB2312" w:cs="仿宋_GB2312"/>
          <w:i w:val="0"/>
          <w:iCs w:val="0"/>
          <w:color w:val="000000"/>
          <w:sz w:val="32"/>
          <w:szCs w:val="32"/>
          <w:highlight w:val="none"/>
          <w:u w:val="none"/>
          <w:lang w:eastAsia="zh-CN"/>
        </w:rPr>
        <w:t>，</w:t>
      </w:r>
      <w:r>
        <w:rPr>
          <w:rFonts w:hint="eastAsia" w:ascii="仿宋_GB2312" w:hAnsi="仿宋_GB2312" w:eastAsia="仿宋_GB2312" w:cs="仿宋_GB2312"/>
          <w:i w:val="0"/>
          <w:iCs w:val="0"/>
          <w:color w:val="000000"/>
          <w:sz w:val="32"/>
          <w:szCs w:val="32"/>
          <w:highlight w:val="none"/>
          <w:u w:val="none"/>
          <w:lang w:val="en-US" w:eastAsia="zh-CN"/>
        </w:rPr>
        <w:t>且在</w:t>
      </w:r>
      <w:r>
        <w:rPr>
          <w:rFonts w:hint="eastAsia" w:ascii="仿宋_GB2312" w:hAnsi="仿宋_GB2312" w:eastAsia="仿宋_GB2312" w:cs="仿宋_GB2312"/>
          <w:i w:val="0"/>
          <w:iCs w:val="0"/>
          <w:color w:val="000000"/>
          <w:sz w:val="32"/>
          <w:szCs w:val="32"/>
          <w:highlight w:val="none"/>
          <w:u w:val="none"/>
        </w:rPr>
        <w:t>3个工作日内调换、补齐或赔偿。</w:t>
      </w:r>
    </w:p>
    <w:p w14:paraId="5DDDEE62">
      <w:pPr>
        <w:keepNext w:val="0"/>
        <w:keepLines w:val="0"/>
        <w:pageBreakBefore w:val="0"/>
        <w:kinsoku/>
        <w:wordWrap/>
        <w:overflowPunct/>
        <w:topLinePunct w:val="0"/>
        <w:autoSpaceDE/>
        <w:autoSpaceDN/>
        <w:bidi w:val="0"/>
        <w:snapToGrid w:val="0"/>
        <w:spacing w:line="480" w:lineRule="exact"/>
        <w:ind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7.</w:t>
      </w:r>
      <w:r>
        <w:rPr>
          <w:rFonts w:hint="eastAsia" w:ascii="仿宋_GB2312" w:hAnsi="仿宋_GB2312" w:eastAsia="仿宋_GB2312" w:cs="仿宋_GB2312"/>
          <w:color w:val="auto"/>
          <w:sz w:val="32"/>
          <w:szCs w:val="32"/>
          <w:highlight w:val="none"/>
          <w:u w:val="none"/>
          <w:lang w:eastAsia="zh-CN"/>
        </w:rPr>
        <w:t>如果贵阳农商银行</w:t>
      </w:r>
      <w:r>
        <w:rPr>
          <w:rFonts w:hint="eastAsia" w:ascii="仿宋_GB2312" w:hAnsi="仿宋_GB2312" w:eastAsia="仿宋_GB2312" w:cs="仿宋_GB2312"/>
          <w:color w:val="auto"/>
          <w:sz w:val="32"/>
          <w:szCs w:val="32"/>
          <w:highlight w:val="none"/>
          <w:u w:val="none"/>
          <w:lang w:val="en-US" w:eastAsia="zh-CN"/>
        </w:rPr>
        <w:t>客户</w:t>
      </w:r>
      <w:r>
        <w:rPr>
          <w:rFonts w:hint="eastAsia" w:ascii="仿宋_GB2312" w:hAnsi="仿宋_GB2312" w:eastAsia="仿宋_GB2312" w:cs="仿宋_GB2312"/>
          <w:color w:val="auto"/>
          <w:sz w:val="32"/>
          <w:szCs w:val="32"/>
          <w:highlight w:val="none"/>
          <w:u w:val="none"/>
          <w:lang w:eastAsia="zh-CN"/>
        </w:rPr>
        <w:t>确认需要进行货物质量检验的，</w:t>
      </w:r>
      <w:r>
        <w:rPr>
          <w:rFonts w:hint="eastAsia" w:ascii="仿宋_GB2312" w:hAnsi="仿宋_GB2312" w:eastAsia="仿宋_GB2312" w:cs="仿宋_GB2312"/>
          <w:color w:val="auto"/>
          <w:sz w:val="32"/>
          <w:szCs w:val="32"/>
          <w:highlight w:val="none"/>
          <w:u w:val="none"/>
          <w:lang w:val="en-US" w:eastAsia="zh-CN"/>
        </w:rPr>
        <w:t>贵阳农商银行应客户申请</w:t>
      </w:r>
      <w:r>
        <w:rPr>
          <w:rFonts w:hint="eastAsia" w:ascii="仿宋_GB2312" w:hAnsi="仿宋_GB2312" w:eastAsia="仿宋_GB2312" w:cs="仿宋_GB2312"/>
          <w:color w:val="auto"/>
          <w:sz w:val="32"/>
          <w:szCs w:val="32"/>
          <w:highlight w:val="none"/>
          <w:u w:val="none"/>
          <w:lang w:eastAsia="zh-CN"/>
        </w:rPr>
        <w:t>以书面形式</w:t>
      </w:r>
      <w:r>
        <w:rPr>
          <w:rFonts w:hint="eastAsia" w:ascii="仿宋_GB2312" w:hAnsi="仿宋_GB2312" w:eastAsia="仿宋_GB2312" w:cs="仿宋_GB2312"/>
          <w:color w:val="auto"/>
          <w:sz w:val="32"/>
          <w:szCs w:val="32"/>
          <w:highlight w:val="none"/>
          <w:u w:val="none"/>
          <w:lang w:val="en-US" w:eastAsia="zh-CN"/>
        </w:rPr>
        <w:t>将</w:t>
      </w:r>
      <w:r>
        <w:rPr>
          <w:rFonts w:hint="eastAsia" w:ascii="仿宋_GB2312" w:hAnsi="仿宋_GB2312" w:eastAsia="仿宋_GB2312" w:cs="仿宋_GB2312"/>
          <w:color w:val="auto"/>
          <w:sz w:val="32"/>
          <w:szCs w:val="32"/>
          <w:highlight w:val="none"/>
          <w:u w:val="none"/>
          <w:lang w:eastAsia="zh-CN"/>
        </w:rPr>
        <w:t>质量检验的具体要求通知</w:t>
      </w:r>
      <w:r>
        <w:rPr>
          <w:rFonts w:hint="eastAsia" w:ascii="仿宋_GB2312" w:hAnsi="仿宋_GB2312" w:eastAsia="仿宋_GB2312" w:cs="仿宋_GB2312"/>
          <w:color w:val="auto"/>
          <w:sz w:val="32"/>
          <w:szCs w:val="32"/>
          <w:highlight w:val="none"/>
          <w:u w:val="none"/>
          <w:lang w:val="en-US" w:eastAsia="zh-CN"/>
        </w:rPr>
        <w:t>合作商</w:t>
      </w:r>
      <w:r>
        <w:rPr>
          <w:rFonts w:hint="eastAsia" w:ascii="仿宋_GB2312" w:hAnsi="仿宋_GB2312" w:eastAsia="仿宋_GB2312" w:cs="仿宋_GB2312"/>
          <w:color w:val="auto"/>
          <w:sz w:val="32"/>
          <w:szCs w:val="32"/>
          <w:highlight w:val="none"/>
          <w:u w:val="none"/>
          <w:lang w:eastAsia="zh-CN"/>
        </w:rPr>
        <w:t>，质量检验在</w:t>
      </w:r>
      <w:r>
        <w:rPr>
          <w:rFonts w:hint="eastAsia" w:ascii="仿宋_GB2312" w:hAnsi="仿宋_GB2312" w:eastAsia="仿宋_GB2312" w:cs="仿宋_GB2312"/>
          <w:color w:val="auto"/>
          <w:sz w:val="32"/>
          <w:szCs w:val="32"/>
          <w:highlight w:val="none"/>
          <w:u w:val="none"/>
          <w:lang w:val="en-US" w:eastAsia="zh-CN"/>
        </w:rPr>
        <w:t>合作商</w:t>
      </w:r>
      <w:r>
        <w:rPr>
          <w:rFonts w:hint="eastAsia" w:ascii="仿宋_GB2312" w:hAnsi="仿宋_GB2312" w:eastAsia="仿宋_GB2312" w:cs="仿宋_GB2312"/>
          <w:color w:val="auto"/>
          <w:sz w:val="32"/>
          <w:szCs w:val="32"/>
          <w:highlight w:val="none"/>
          <w:u w:val="none"/>
          <w:lang w:eastAsia="zh-CN"/>
        </w:rPr>
        <w:t>和贵阳农商银行双方约定的有权质检部门进行。如通过检验证明货物存在问题，</w:t>
      </w:r>
      <w:r>
        <w:rPr>
          <w:rFonts w:hint="eastAsia" w:ascii="仿宋_GB2312" w:hAnsi="仿宋_GB2312" w:eastAsia="仿宋_GB2312" w:cs="仿宋_GB2312"/>
          <w:color w:val="auto"/>
          <w:sz w:val="32"/>
          <w:szCs w:val="32"/>
          <w:highlight w:val="none"/>
          <w:u w:val="none"/>
          <w:lang w:val="en-US" w:eastAsia="zh-CN"/>
        </w:rPr>
        <w:t>相关检验</w:t>
      </w:r>
      <w:r>
        <w:rPr>
          <w:rFonts w:hint="eastAsia" w:ascii="仿宋_GB2312" w:hAnsi="仿宋_GB2312" w:eastAsia="仿宋_GB2312" w:cs="仿宋_GB2312"/>
          <w:color w:val="auto"/>
          <w:sz w:val="32"/>
          <w:szCs w:val="32"/>
          <w:highlight w:val="none"/>
          <w:u w:val="none"/>
          <w:lang w:eastAsia="zh-CN"/>
        </w:rPr>
        <w:t>费用由</w:t>
      </w:r>
      <w:r>
        <w:rPr>
          <w:rFonts w:hint="eastAsia" w:ascii="仿宋_GB2312" w:hAnsi="仿宋_GB2312" w:eastAsia="仿宋_GB2312" w:cs="仿宋_GB2312"/>
          <w:color w:val="auto"/>
          <w:sz w:val="32"/>
          <w:szCs w:val="32"/>
          <w:highlight w:val="none"/>
          <w:u w:val="none"/>
          <w:lang w:val="en-US" w:eastAsia="zh-CN"/>
        </w:rPr>
        <w:t>合作商</w:t>
      </w:r>
      <w:r>
        <w:rPr>
          <w:rFonts w:hint="eastAsia" w:ascii="仿宋_GB2312" w:hAnsi="仿宋_GB2312" w:eastAsia="仿宋_GB2312" w:cs="仿宋_GB2312"/>
          <w:color w:val="auto"/>
          <w:sz w:val="32"/>
          <w:szCs w:val="32"/>
          <w:highlight w:val="none"/>
          <w:u w:val="none"/>
          <w:lang w:eastAsia="zh-CN"/>
        </w:rPr>
        <w:t>承担；若通过检验货物不存在问题，</w:t>
      </w:r>
      <w:r>
        <w:rPr>
          <w:rFonts w:hint="eastAsia" w:ascii="仿宋_GB2312" w:hAnsi="仿宋_GB2312" w:eastAsia="仿宋_GB2312" w:cs="仿宋_GB2312"/>
          <w:color w:val="auto"/>
          <w:sz w:val="32"/>
          <w:szCs w:val="32"/>
          <w:highlight w:val="none"/>
          <w:u w:val="none"/>
          <w:lang w:val="en-US" w:eastAsia="zh-CN"/>
        </w:rPr>
        <w:t>相关检验费用</w:t>
      </w:r>
      <w:r>
        <w:rPr>
          <w:rFonts w:hint="eastAsia" w:ascii="仿宋_GB2312" w:hAnsi="仿宋_GB2312" w:eastAsia="仿宋_GB2312" w:cs="仿宋_GB2312"/>
          <w:color w:val="auto"/>
          <w:sz w:val="32"/>
          <w:szCs w:val="32"/>
          <w:highlight w:val="none"/>
          <w:u w:val="none"/>
          <w:lang w:eastAsia="zh-CN"/>
        </w:rPr>
        <w:t>由贵阳农商银行和</w:t>
      </w:r>
      <w:r>
        <w:rPr>
          <w:rFonts w:hint="eastAsia" w:ascii="仿宋_GB2312" w:hAnsi="仿宋_GB2312" w:eastAsia="仿宋_GB2312" w:cs="仿宋_GB2312"/>
          <w:color w:val="auto"/>
          <w:sz w:val="32"/>
          <w:szCs w:val="32"/>
          <w:highlight w:val="none"/>
          <w:u w:val="none"/>
          <w:lang w:val="en-US" w:eastAsia="zh-CN"/>
        </w:rPr>
        <w:t>合作商</w:t>
      </w:r>
      <w:r>
        <w:rPr>
          <w:rFonts w:hint="eastAsia" w:ascii="仿宋_GB2312" w:hAnsi="仿宋_GB2312" w:eastAsia="仿宋_GB2312" w:cs="仿宋_GB2312"/>
          <w:color w:val="auto"/>
          <w:sz w:val="32"/>
          <w:szCs w:val="32"/>
          <w:highlight w:val="none"/>
          <w:u w:val="none"/>
          <w:lang w:eastAsia="zh-CN"/>
        </w:rPr>
        <w:t>协商解决。如经检验确定为假货或不符合质量要求的，</w:t>
      </w:r>
      <w:r>
        <w:rPr>
          <w:rFonts w:hint="eastAsia" w:ascii="仿宋_GB2312" w:hAnsi="仿宋_GB2312" w:eastAsia="仿宋_GB2312" w:cs="仿宋_GB2312"/>
          <w:color w:val="auto"/>
          <w:sz w:val="32"/>
          <w:szCs w:val="32"/>
          <w:highlight w:val="none"/>
          <w:u w:val="none"/>
          <w:lang w:val="en-US" w:eastAsia="zh-CN"/>
        </w:rPr>
        <w:t>合作商</w:t>
      </w:r>
      <w:r>
        <w:rPr>
          <w:rFonts w:hint="eastAsia" w:ascii="仿宋_GB2312" w:hAnsi="仿宋_GB2312" w:eastAsia="仿宋_GB2312" w:cs="仿宋_GB2312"/>
          <w:color w:val="auto"/>
          <w:sz w:val="32"/>
          <w:szCs w:val="32"/>
          <w:highlight w:val="none"/>
          <w:u w:val="none"/>
          <w:lang w:eastAsia="zh-CN"/>
        </w:rPr>
        <w:t>除按相关法律法规承担赔偿等责任外，贵阳农商银行有权取消</w:t>
      </w:r>
      <w:r>
        <w:rPr>
          <w:rFonts w:hint="eastAsia" w:ascii="仿宋_GB2312" w:hAnsi="仿宋_GB2312" w:eastAsia="仿宋_GB2312" w:cs="仿宋_GB2312"/>
          <w:color w:val="auto"/>
          <w:sz w:val="32"/>
          <w:szCs w:val="32"/>
          <w:highlight w:val="none"/>
          <w:u w:val="none"/>
          <w:lang w:val="en-US" w:eastAsia="zh-CN"/>
        </w:rPr>
        <w:t>合作商</w:t>
      </w:r>
      <w:r>
        <w:rPr>
          <w:rFonts w:hint="eastAsia" w:ascii="仿宋_GB2312" w:hAnsi="仿宋_GB2312" w:eastAsia="仿宋_GB2312" w:cs="仿宋_GB2312"/>
          <w:color w:val="auto"/>
          <w:sz w:val="32"/>
          <w:szCs w:val="32"/>
          <w:highlight w:val="none"/>
          <w:u w:val="none"/>
          <w:lang w:eastAsia="zh-CN"/>
        </w:rPr>
        <w:t>运营资格、追索相关损失等。</w:t>
      </w:r>
      <w:r>
        <w:rPr>
          <w:rFonts w:hint="eastAsia" w:ascii="仿宋_GB2312" w:hAnsi="仿宋_GB2312" w:eastAsia="仿宋_GB2312" w:cs="仿宋_GB2312"/>
          <w:color w:val="auto"/>
          <w:sz w:val="32"/>
          <w:szCs w:val="32"/>
          <w:highlight w:val="none"/>
          <w:u w:val="none"/>
          <w:lang w:val="en-US" w:eastAsia="zh-CN"/>
        </w:rPr>
        <w:t xml:space="preserve"> </w:t>
      </w:r>
    </w:p>
    <w:p w14:paraId="4D6F4678">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i w:val="0"/>
          <w:iCs w:val="0"/>
          <w:color w:val="000000"/>
          <w:sz w:val="32"/>
          <w:szCs w:val="32"/>
          <w:highlight w:val="none"/>
          <w:u w:val="none"/>
          <w:lang w:val="en-US" w:eastAsia="zh-CN"/>
        </w:rPr>
      </w:pPr>
      <w:r>
        <w:rPr>
          <w:rFonts w:hint="eastAsia" w:ascii="仿宋_GB2312" w:hAnsi="仿宋_GB2312" w:eastAsia="仿宋_GB2312" w:cs="仿宋_GB2312"/>
          <w:i w:val="0"/>
          <w:iCs w:val="0"/>
          <w:color w:val="000000"/>
          <w:sz w:val="32"/>
          <w:szCs w:val="32"/>
          <w:highlight w:val="none"/>
          <w:u w:val="none"/>
          <w:lang w:val="en-US" w:eastAsia="zh-CN"/>
        </w:rPr>
        <w:t>8.如遇贵阳农商银行客户提交退款申请时，合作商应积极妥善处理用户述求，超过72小时未处理的，贵阳农商银行系统自动判定为同意退款。</w:t>
      </w:r>
    </w:p>
    <w:p w14:paraId="5D7B8E3D">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i w:val="0"/>
          <w:iCs w:val="0"/>
          <w:color w:val="auto"/>
          <w:sz w:val="32"/>
          <w:szCs w:val="32"/>
          <w:highlight w:val="none"/>
          <w:u w:val="none"/>
          <w:lang w:val="en-US" w:eastAsia="zh-CN"/>
        </w:rPr>
      </w:pPr>
      <w:r>
        <w:rPr>
          <w:rFonts w:hint="eastAsia" w:ascii="仿宋_GB2312" w:hAnsi="仿宋_GB2312" w:eastAsia="仿宋_GB2312" w:cs="仿宋_GB2312"/>
          <w:i w:val="0"/>
          <w:iCs w:val="0"/>
          <w:color w:val="auto"/>
          <w:sz w:val="32"/>
          <w:szCs w:val="32"/>
          <w:highlight w:val="none"/>
          <w:u w:val="none"/>
          <w:lang w:val="en-US" w:eastAsia="zh-CN"/>
        </w:rPr>
        <w:t>9.如合作商发生对贵阳农商银行或贵阳农商银行客户要求响应不及时或不响应要求的，将按照双方合同约定，按次进行扣罚；累计超过一定次数的贵阳农商银行有权解除合同。</w:t>
      </w:r>
    </w:p>
    <w:p w14:paraId="3F84B069">
      <w:pPr>
        <w:keepNext w:val="0"/>
        <w:keepLines w:val="0"/>
        <w:pageBreakBefore w:val="0"/>
        <w:widowControl w:val="0"/>
        <w:kinsoku/>
        <w:wordWrap/>
        <w:overflowPunct/>
        <w:topLinePunct w:val="0"/>
        <w:autoSpaceDE/>
        <w:autoSpaceDN/>
        <w:bidi w:val="0"/>
        <w:adjustRightInd/>
        <w:snapToGrid w:val="0"/>
        <w:spacing w:line="480" w:lineRule="exact"/>
        <w:ind w:firstLine="640" w:firstLineChars="200"/>
        <w:jc w:val="both"/>
        <w:textAlignment w:val="auto"/>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lang w:val="en-US" w:eastAsia="zh-CN"/>
        </w:rPr>
        <w:t>10.合作商</w:t>
      </w:r>
      <w:r>
        <w:rPr>
          <w:rFonts w:hint="eastAsia" w:ascii="仿宋_GB2312" w:hAnsi="仿宋_GB2312" w:eastAsia="仿宋_GB2312" w:cs="仿宋_GB2312"/>
          <w:color w:val="auto"/>
          <w:sz w:val="32"/>
          <w:szCs w:val="32"/>
          <w:highlight w:val="none"/>
          <w:u w:val="none"/>
          <w:lang w:eastAsia="zh-CN"/>
        </w:rPr>
        <w:t>必须按时按量按质地将货物上架商城，销售货物收货清单作为贵阳农商银行</w:t>
      </w:r>
      <w:r>
        <w:rPr>
          <w:rFonts w:hint="eastAsia" w:ascii="仿宋_GB2312" w:hAnsi="仿宋_GB2312" w:eastAsia="仿宋_GB2312" w:cs="仿宋_GB2312"/>
          <w:color w:val="auto"/>
          <w:sz w:val="32"/>
          <w:szCs w:val="32"/>
          <w:highlight w:val="none"/>
          <w:u w:val="none"/>
          <w:lang w:val="en-US" w:eastAsia="zh-CN"/>
        </w:rPr>
        <w:t>代付</w:t>
      </w:r>
      <w:r>
        <w:rPr>
          <w:rFonts w:hint="eastAsia" w:ascii="仿宋_GB2312" w:hAnsi="仿宋_GB2312" w:eastAsia="仿宋_GB2312" w:cs="仿宋_GB2312"/>
          <w:color w:val="auto"/>
          <w:sz w:val="32"/>
          <w:szCs w:val="32"/>
          <w:highlight w:val="none"/>
          <w:u w:val="none"/>
          <w:lang w:eastAsia="zh-CN"/>
        </w:rPr>
        <w:t>货款的依据之一。</w:t>
      </w:r>
      <w:r>
        <w:rPr>
          <w:rFonts w:hint="eastAsia" w:ascii="仿宋_GB2312" w:hAnsi="仿宋_GB2312" w:eastAsia="仿宋_GB2312" w:cs="仿宋_GB2312"/>
          <w:color w:val="auto"/>
          <w:sz w:val="32"/>
          <w:szCs w:val="32"/>
          <w:highlight w:val="none"/>
          <w:u w:val="none"/>
          <w:lang w:val="en-US" w:eastAsia="zh-CN"/>
        </w:rPr>
        <w:t>合作商</w:t>
      </w:r>
      <w:r>
        <w:rPr>
          <w:rFonts w:hint="eastAsia" w:ascii="仿宋_GB2312" w:hAnsi="仿宋_GB2312" w:eastAsia="仿宋_GB2312" w:cs="仿宋_GB2312"/>
          <w:color w:val="auto"/>
          <w:sz w:val="32"/>
          <w:szCs w:val="32"/>
          <w:highlight w:val="none"/>
          <w:u w:val="none"/>
          <w:lang w:eastAsia="zh-CN"/>
        </w:rPr>
        <w:t>如</w:t>
      </w:r>
      <w:r>
        <w:rPr>
          <w:rFonts w:hint="eastAsia" w:ascii="仿宋_GB2312" w:hAnsi="仿宋_GB2312" w:eastAsia="仿宋_GB2312" w:cs="仿宋_GB2312"/>
          <w:color w:val="auto"/>
          <w:sz w:val="32"/>
          <w:szCs w:val="32"/>
          <w:highlight w:val="none"/>
          <w:u w:val="none"/>
          <w:lang w:val="en-US" w:eastAsia="zh-CN"/>
        </w:rPr>
        <w:t>未</w:t>
      </w:r>
      <w:r>
        <w:rPr>
          <w:rFonts w:hint="eastAsia" w:ascii="仿宋_GB2312" w:hAnsi="仿宋_GB2312" w:eastAsia="仿宋_GB2312" w:cs="仿宋_GB2312"/>
          <w:color w:val="auto"/>
          <w:sz w:val="32"/>
          <w:szCs w:val="32"/>
          <w:highlight w:val="none"/>
          <w:u w:val="none"/>
          <w:lang w:eastAsia="zh-CN"/>
        </w:rPr>
        <w:t>按照</w:t>
      </w:r>
      <w:r>
        <w:rPr>
          <w:rFonts w:hint="eastAsia" w:ascii="仿宋_GB2312" w:hAnsi="仿宋_GB2312" w:eastAsia="仿宋_GB2312" w:cs="仿宋_GB2312"/>
          <w:color w:val="auto"/>
          <w:sz w:val="32"/>
          <w:szCs w:val="32"/>
          <w:highlight w:val="none"/>
          <w:u w:val="none"/>
          <w:lang w:val="en-US" w:eastAsia="zh-CN"/>
        </w:rPr>
        <w:t>最终合作价格</w:t>
      </w:r>
      <w:r>
        <w:rPr>
          <w:rFonts w:hint="eastAsia" w:ascii="仿宋_GB2312" w:hAnsi="仿宋_GB2312" w:eastAsia="仿宋_GB2312" w:cs="仿宋_GB2312"/>
          <w:color w:val="auto"/>
          <w:sz w:val="32"/>
          <w:szCs w:val="32"/>
          <w:highlight w:val="none"/>
          <w:u w:val="none"/>
          <w:lang w:eastAsia="zh-CN"/>
        </w:rPr>
        <w:t>提供商品上架</w:t>
      </w:r>
      <w:r>
        <w:rPr>
          <w:rFonts w:hint="eastAsia" w:ascii="仿宋_GB2312" w:hAnsi="仿宋_GB2312" w:eastAsia="仿宋_GB2312" w:cs="仿宋_GB2312"/>
          <w:color w:val="auto"/>
          <w:sz w:val="32"/>
          <w:szCs w:val="32"/>
          <w:highlight w:val="none"/>
          <w:u w:val="none"/>
          <w:lang w:val="en-US" w:eastAsia="zh-CN"/>
        </w:rPr>
        <w:t>的</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lang w:val="en-US" w:eastAsia="zh-CN"/>
        </w:rPr>
        <w:t>应立即按照合同约定进行整改，且贵阳农商银行根据合同约定可对合作商进行相应处罚，如出现多次以上未按照最终合作价格提供商品上架的，则取消合作商的运营资格</w:t>
      </w:r>
      <w:r>
        <w:rPr>
          <w:rFonts w:hint="eastAsia" w:ascii="仿宋_GB2312" w:hAnsi="仿宋_GB2312" w:eastAsia="仿宋_GB2312" w:cs="仿宋_GB2312"/>
          <w:color w:val="auto"/>
          <w:sz w:val="32"/>
          <w:szCs w:val="32"/>
          <w:highlight w:val="none"/>
          <w:u w:val="none"/>
          <w:lang w:eastAsia="zh-CN"/>
        </w:rPr>
        <w:t>。</w:t>
      </w:r>
    </w:p>
    <w:p w14:paraId="4AD7F7D7">
      <w:pPr>
        <w:pStyle w:val="2"/>
        <w:keepNext w:val="0"/>
        <w:keepLines w:val="0"/>
        <w:pageBreakBefore w:val="0"/>
        <w:widowControl w:val="0"/>
        <w:kinsoku/>
        <w:wordWrap/>
        <w:overflowPunct/>
        <w:topLinePunct w:val="0"/>
        <w:autoSpaceDE/>
        <w:autoSpaceDN/>
        <w:bidi w:val="0"/>
        <w:adjustRightInd/>
        <w:spacing w:after="0" w:line="480" w:lineRule="exact"/>
        <w:ind w:firstLine="643" w:firstLineChars="200"/>
        <w:textAlignment w:val="auto"/>
        <w:rPr>
          <w:rFonts w:hint="eastAsia" w:eastAsia="仿宋_GB2312"/>
          <w:b/>
          <w:bCs/>
          <w:color w:val="auto"/>
          <w:u w:val="none"/>
          <w:lang w:val="en-US" w:eastAsia="zh-CN"/>
        </w:rPr>
      </w:pPr>
      <w:r>
        <w:rPr>
          <w:rFonts w:hint="eastAsia" w:ascii="仿宋_GB2312" w:hAnsi="仿宋_GB2312" w:eastAsia="仿宋_GB2312" w:cs="仿宋_GB2312"/>
          <w:b/>
          <w:bCs/>
          <w:color w:val="auto"/>
          <w:sz w:val="32"/>
          <w:szCs w:val="32"/>
          <w:highlight w:val="none"/>
          <w:u w:val="none"/>
          <w:lang w:val="en-US" w:eastAsia="zh-CN"/>
        </w:rPr>
        <w:t>注：</w:t>
      </w:r>
      <w:r>
        <w:rPr>
          <w:rFonts w:hint="eastAsia" w:ascii="仿宋_GB2312" w:hAnsi="仿宋_GB2312" w:eastAsia="仿宋_GB2312" w:cs="仿宋_GB2312"/>
          <w:b/>
          <w:bCs/>
          <w:i w:val="0"/>
          <w:iCs w:val="0"/>
          <w:color w:val="auto"/>
          <w:sz w:val="32"/>
          <w:szCs w:val="32"/>
          <w:highlight w:val="none"/>
          <w:u w:val="none"/>
        </w:rPr>
        <w:t>其他未尽事宜由双方在合同中详细约定</w:t>
      </w:r>
      <w:r>
        <w:rPr>
          <w:rFonts w:hint="eastAsia" w:ascii="仿宋_GB2312" w:hAnsi="仿宋_GB2312" w:eastAsia="仿宋_GB2312" w:cs="仿宋_GB2312"/>
          <w:b/>
          <w:bCs/>
          <w:i w:val="0"/>
          <w:iCs w:val="0"/>
          <w:color w:val="auto"/>
          <w:sz w:val="32"/>
          <w:szCs w:val="32"/>
          <w:highlight w:val="none"/>
          <w:u w:val="none"/>
          <w:lang w:eastAsia="zh-CN"/>
        </w:rPr>
        <w:t>。</w:t>
      </w:r>
    </w:p>
    <w:p w14:paraId="1BC7CAE2">
      <w:pPr>
        <w:keepNext w:val="0"/>
        <w:keepLines w:val="0"/>
        <w:pageBreakBefore w:val="0"/>
        <w:widowControl w:val="0"/>
        <w:kinsoku/>
        <w:wordWrap/>
        <w:overflowPunct/>
        <w:topLinePunct w:val="0"/>
        <w:autoSpaceDE/>
        <w:autoSpaceDN/>
        <w:bidi w:val="0"/>
        <w:adjustRightInd/>
        <w:snapToGrid/>
        <w:spacing w:line="480" w:lineRule="exact"/>
        <w:ind w:firstLine="643" w:firstLineChars="200"/>
        <w:jc w:val="both"/>
        <w:textAlignment w:val="auto"/>
        <w:rPr>
          <w:rFonts w:hint="eastAsia" w:ascii="楷体_GB2312" w:hAnsi="楷体_GB2312" w:eastAsia="楷体_GB2312" w:cs="楷体_GB2312"/>
          <w:b/>
          <w:bCs/>
          <w:color w:val="000000"/>
          <w:sz w:val="32"/>
          <w:szCs w:val="32"/>
          <w:highlight w:val="none"/>
          <w:lang w:val="en-US" w:eastAsia="zh-CN"/>
        </w:rPr>
      </w:pPr>
      <w:r>
        <w:rPr>
          <w:rFonts w:hint="eastAsia" w:ascii="楷体_GB2312" w:hAnsi="楷体_GB2312" w:eastAsia="楷体_GB2312" w:cs="楷体_GB2312"/>
          <w:b/>
          <w:bCs/>
          <w:color w:val="000000"/>
          <w:sz w:val="32"/>
          <w:szCs w:val="32"/>
          <w:highlight w:val="none"/>
          <w:lang w:val="en-US" w:eastAsia="zh-CN"/>
        </w:rPr>
        <w:t>（六）其他要求</w:t>
      </w:r>
    </w:p>
    <w:p w14:paraId="20FF8F42">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i w:val="0"/>
          <w:iCs w:val="0"/>
          <w:color w:val="auto"/>
          <w:sz w:val="32"/>
          <w:szCs w:val="32"/>
          <w:highlight w:val="none"/>
          <w:lang w:val="en-US" w:eastAsia="zh-CN"/>
        </w:rPr>
      </w:pPr>
      <w:r>
        <w:rPr>
          <w:rFonts w:hint="eastAsia" w:ascii="仿宋_GB2312" w:hAnsi="仿宋_GB2312" w:eastAsia="仿宋_GB2312" w:cs="仿宋_GB2312"/>
          <w:i w:val="0"/>
          <w:iCs w:val="0"/>
          <w:color w:val="auto"/>
          <w:sz w:val="32"/>
          <w:szCs w:val="32"/>
          <w:highlight w:val="none"/>
          <w:lang w:val="en-US" w:eastAsia="zh-CN"/>
        </w:rPr>
        <w:t>1.合作商在合作期内，不得将供货的实际数量及供货地点泄露给其他单位或者个人，合作商必须指派相对固定的人员完成货物配送服务，并将配送人员的详细资料报贵阳农商银行备案，货物配送人员必须遵纪守法、品行良好，无违法犯罪记录。如需要更换配送人员，必须事先通知贵阳农商银行并将其个人资料报贵阳农商银行审批，审批合格方能更换。</w:t>
      </w:r>
    </w:p>
    <w:p w14:paraId="1F81C26F">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i w:val="0"/>
          <w:iCs w:val="0"/>
          <w:color w:val="auto"/>
          <w:sz w:val="32"/>
          <w:szCs w:val="32"/>
          <w:highlight w:val="none"/>
          <w:u w:val="none"/>
          <w:lang w:val="en-US" w:eastAsia="zh-CN"/>
        </w:rPr>
      </w:pPr>
      <w:r>
        <w:rPr>
          <w:rFonts w:hint="eastAsia" w:ascii="仿宋_GB2312" w:hAnsi="仿宋_GB2312" w:eastAsia="仿宋_GB2312" w:cs="仿宋_GB2312"/>
          <w:i w:val="0"/>
          <w:iCs w:val="0"/>
          <w:color w:val="auto"/>
          <w:sz w:val="32"/>
          <w:szCs w:val="32"/>
          <w:highlight w:val="none"/>
          <w:lang w:val="en-US" w:eastAsia="zh-CN"/>
        </w:rPr>
        <w:t>2.合作商应保证其产品不涉及专利和知识产权侵权等问题：本项目所涉及到的专利和专有技术的来源和使用均合法，免受第三方提出的侵犯其专利权、商标权或其他知识产权的起诉。如发生此类纠纷，由合作商承担一切责任；如因此给贵阳农商银行造成损失的，合作商负责全额赔偿。如果有任何因贵阳农商银行平台使用合作商提供的商品而提起的侵权指控，合作商须依法承担由此而引起的全部责任和费用，</w:t>
      </w:r>
      <w:r>
        <w:rPr>
          <w:rFonts w:hint="eastAsia" w:ascii="仿宋_GB2312" w:hAnsi="仿宋_GB2312" w:eastAsia="仿宋_GB2312" w:cs="仿宋_GB2312"/>
          <w:i w:val="0"/>
          <w:iCs w:val="0"/>
          <w:color w:val="auto"/>
          <w:sz w:val="32"/>
          <w:szCs w:val="32"/>
          <w:highlight w:val="none"/>
          <w:u w:val="none"/>
          <w:lang w:val="en-US" w:eastAsia="zh-CN"/>
        </w:rPr>
        <w:t>并向贵阳农商银行支付违约金。</w:t>
      </w:r>
    </w:p>
    <w:p w14:paraId="022B601E">
      <w:pPr>
        <w:pStyle w:val="7"/>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640" w:firstLineChars="200"/>
        <w:jc w:val="both"/>
        <w:textAlignment w:val="auto"/>
        <w:rPr>
          <w:rFonts w:hint="eastAsia" w:ascii="仿宋_GB2312" w:hAnsi="仿宋_GB2312" w:eastAsia="仿宋_GB2312" w:cs="仿宋_GB2312"/>
          <w:i w:val="0"/>
          <w:iCs w:val="0"/>
          <w:color w:val="auto"/>
          <w:sz w:val="32"/>
          <w:szCs w:val="32"/>
          <w:highlight w:val="none"/>
          <w:lang w:val="en-US" w:eastAsia="zh-CN"/>
        </w:rPr>
      </w:pPr>
      <w:r>
        <w:rPr>
          <w:rFonts w:hint="eastAsia" w:hAnsi="仿宋_GB2312" w:cs="仿宋_GB2312"/>
          <w:i w:val="0"/>
          <w:iCs w:val="0"/>
          <w:color w:val="auto"/>
          <w:kern w:val="2"/>
          <w:sz w:val="32"/>
          <w:szCs w:val="32"/>
          <w:highlight w:val="none"/>
          <w:lang w:val="en-US" w:eastAsia="zh-CN" w:bidi="ar-SA"/>
        </w:rPr>
        <w:t>3.合作商</w:t>
      </w:r>
      <w:r>
        <w:rPr>
          <w:rFonts w:hint="eastAsia" w:ascii="仿宋_GB2312" w:hAnsi="仿宋_GB2312" w:eastAsia="仿宋_GB2312" w:cs="仿宋_GB2312"/>
          <w:i w:val="0"/>
          <w:iCs w:val="0"/>
          <w:color w:val="auto"/>
          <w:kern w:val="2"/>
          <w:sz w:val="32"/>
          <w:szCs w:val="32"/>
          <w:highlight w:val="none"/>
          <w:lang w:val="en-US" w:eastAsia="zh-CN" w:bidi="ar-SA"/>
        </w:rPr>
        <w:t>须提供本地化服务，外省企业须在贵州设立办事处或服务点。</w:t>
      </w:r>
    </w:p>
    <w:p w14:paraId="5159A55F">
      <w:pPr>
        <w:pStyle w:val="7"/>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643" w:firstLineChars="200"/>
        <w:jc w:val="both"/>
        <w:textAlignment w:val="auto"/>
        <w:rPr>
          <w:rFonts w:hint="eastAsia" w:ascii="仿宋_GB2312" w:hAnsi="仿宋_GB2312" w:eastAsia="仿宋_GB2312" w:cs="仿宋_GB2312"/>
          <w:b/>
          <w:bCs/>
          <w:i w:val="0"/>
          <w:iCs w:val="0"/>
          <w:color w:val="auto"/>
          <w:sz w:val="32"/>
          <w:szCs w:val="32"/>
          <w:highlight w:val="none"/>
          <w:lang w:eastAsia="zh-CN"/>
        </w:rPr>
      </w:pPr>
      <w:r>
        <w:rPr>
          <w:rFonts w:hint="eastAsia" w:ascii="仿宋_GB2312" w:hAnsi="仿宋_GB2312" w:eastAsia="仿宋_GB2312" w:cs="仿宋_GB2312"/>
          <w:b/>
          <w:bCs/>
          <w:color w:val="auto"/>
          <w:sz w:val="32"/>
          <w:szCs w:val="32"/>
          <w:highlight w:val="none"/>
          <w:lang w:val="en-US" w:eastAsia="zh-CN"/>
        </w:rPr>
        <w:t>注：</w:t>
      </w:r>
      <w:r>
        <w:rPr>
          <w:rFonts w:hint="eastAsia" w:ascii="仿宋_GB2312" w:hAnsi="仿宋_GB2312" w:eastAsia="仿宋_GB2312" w:cs="仿宋_GB2312"/>
          <w:b/>
          <w:bCs/>
          <w:i w:val="0"/>
          <w:iCs w:val="0"/>
          <w:color w:val="auto"/>
          <w:sz w:val="32"/>
          <w:szCs w:val="32"/>
          <w:highlight w:val="none"/>
        </w:rPr>
        <w:t>其他未尽事宜由双方在合同中详细约定</w:t>
      </w:r>
      <w:r>
        <w:rPr>
          <w:rFonts w:hint="eastAsia" w:ascii="仿宋_GB2312" w:hAnsi="仿宋_GB2312" w:eastAsia="仿宋_GB2312" w:cs="仿宋_GB2312"/>
          <w:b/>
          <w:bCs/>
          <w:i w:val="0"/>
          <w:iCs w:val="0"/>
          <w:color w:val="auto"/>
          <w:sz w:val="32"/>
          <w:szCs w:val="32"/>
          <w:highlight w:val="none"/>
          <w:lang w:eastAsia="zh-CN"/>
        </w:rPr>
        <w:t>。</w:t>
      </w:r>
    </w:p>
    <w:p w14:paraId="23986DA5">
      <w:pPr>
        <w:pStyle w:val="7"/>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both"/>
        <w:textAlignment w:val="auto"/>
        <w:rPr>
          <w:rFonts w:hint="eastAsia" w:ascii="黑体" w:hAnsi="黑体" w:eastAsia="黑体" w:cs="黑体"/>
          <w:i w:val="0"/>
          <w:iCs w:val="0"/>
          <w:color w:val="auto"/>
          <w:sz w:val="32"/>
          <w:szCs w:val="32"/>
          <w:highlight w:val="none"/>
          <w:u w:val="none"/>
          <w:lang w:val="en-US" w:eastAsia="zh-CN"/>
        </w:rPr>
      </w:pPr>
      <w:r>
        <w:rPr>
          <w:rFonts w:hint="eastAsia" w:ascii="黑体" w:hAnsi="黑体" w:eastAsia="黑体" w:cs="黑体"/>
          <w:i w:val="0"/>
          <w:iCs w:val="0"/>
          <w:color w:val="auto"/>
          <w:sz w:val="32"/>
          <w:szCs w:val="32"/>
          <w:highlight w:val="none"/>
          <w:u w:val="none"/>
          <w:lang w:val="en-US" w:eastAsia="zh-CN"/>
        </w:rPr>
        <w:t>二、“优选生鲜”引入运营合作商退出机制</w:t>
      </w:r>
    </w:p>
    <w:p w14:paraId="1456B0AD">
      <w:pPr>
        <w:pStyle w:val="2"/>
        <w:keepNext w:val="0"/>
        <w:keepLines w:val="0"/>
        <w:pageBreakBefore w:val="0"/>
        <w:widowControl w:val="0"/>
        <w:kinsoku/>
        <w:wordWrap/>
        <w:overflowPunct/>
        <w:topLinePunct w:val="0"/>
        <w:autoSpaceDE/>
        <w:autoSpaceDN/>
        <w:bidi w:val="0"/>
        <w:adjustRightInd/>
        <w:snapToGrid/>
        <w:spacing w:after="0" w:line="4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“优选生鲜”引入运营合作商退出机制有主要有以下四种情况：</w:t>
      </w:r>
    </w:p>
    <w:p w14:paraId="7B8E7002">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合作商主动退出或协议到期退出</w:t>
      </w:r>
    </w:p>
    <w:p w14:paraId="786B3319">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lang w:eastAsia="zh-CN"/>
        </w:rPr>
        <w:t>合作商</w:t>
      </w:r>
      <w:r>
        <w:rPr>
          <w:rFonts w:hint="eastAsia" w:ascii="仿宋_GB2312" w:hAnsi="仿宋_GB2312" w:eastAsia="仿宋_GB2312" w:cs="仿宋_GB2312"/>
          <w:color w:val="auto"/>
          <w:sz w:val="32"/>
          <w:szCs w:val="32"/>
          <w:highlight w:val="none"/>
          <w:lang w:val="en-US" w:eastAsia="zh-CN"/>
        </w:rPr>
        <w:t>可向贵阳农商银行</w:t>
      </w:r>
      <w:r>
        <w:rPr>
          <w:rFonts w:hint="eastAsia" w:ascii="仿宋_GB2312" w:hAnsi="仿宋_GB2312" w:eastAsia="仿宋_GB2312" w:cs="仿宋_GB2312"/>
          <w:color w:val="auto"/>
          <w:sz w:val="32"/>
          <w:szCs w:val="32"/>
          <w:highlight w:val="none"/>
        </w:rPr>
        <w:t>提交</w:t>
      </w:r>
      <w:r>
        <w:rPr>
          <w:rFonts w:hint="eastAsia" w:ascii="仿宋_GB2312" w:hAnsi="仿宋_GB2312" w:eastAsia="仿宋_GB2312" w:cs="仿宋_GB2312"/>
          <w:color w:val="auto"/>
          <w:sz w:val="32"/>
          <w:szCs w:val="32"/>
          <w:highlight w:val="none"/>
          <w:lang w:val="en-US" w:eastAsia="zh-CN"/>
        </w:rPr>
        <w:t>退出平台</w:t>
      </w:r>
      <w:r>
        <w:rPr>
          <w:rFonts w:hint="eastAsia" w:ascii="仿宋_GB2312" w:hAnsi="仿宋_GB2312" w:eastAsia="仿宋_GB2312" w:cs="仿宋_GB2312"/>
          <w:color w:val="auto"/>
          <w:sz w:val="32"/>
          <w:szCs w:val="32"/>
          <w:highlight w:val="none"/>
        </w:rPr>
        <w:t>申请，</w:t>
      </w:r>
      <w:r>
        <w:rPr>
          <w:rFonts w:hint="eastAsia" w:ascii="仿宋_GB2312" w:hAnsi="仿宋_GB2312" w:eastAsia="仿宋_GB2312" w:cs="仿宋_GB2312"/>
          <w:color w:val="auto"/>
          <w:sz w:val="32"/>
          <w:szCs w:val="32"/>
          <w:highlight w:val="none"/>
          <w:lang w:val="en-US" w:eastAsia="zh-CN"/>
        </w:rPr>
        <w:t>贵阳农商银行</w:t>
      </w:r>
      <w:r>
        <w:rPr>
          <w:rFonts w:hint="eastAsia" w:ascii="仿宋_GB2312" w:hAnsi="仿宋_GB2312" w:eastAsia="仿宋_GB2312" w:cs="仿宋_GB2312"/>
          <w:color w:val="auto"/>
          <w:sz w:val="32"/>
          <w:szCs w:val="32"/>
          <w:highlight w:val="none"/>
        </w:rPr>
        <w:t>根据</w:t>
      </w:r>
      <w:r>
        <w:rPr>
          <w:rFonts w:hint="eastAsia" w:ascii="仿宋_GB2312" w:hAnsi="仿宋_GB2312" w:eastAsia="仿宋_GB2312" w:cs="仿宋_GB2312"/>
          <w:color w:val="auto"/>
          <w:sz w:val="32"/>
          <w:szCs w:val="32"/>
          <w:highlight w:val="none"/>
          <w:lang w:eastAsia="zh-CN"/>
        </w:rPr>
        <w:t>合作商</w:t>
      </w:r>
      <w:r>
        <w:rPr>
          <w:rFonts w:hint="eastAsia" w:ascii="仿宋_GB2312" w:hAnsi="仿宋_GB2312" w:eastAsia="仿宋_GB2312" w:cs="仿宋_GB2312"/>
          <w:color w:val="auto"/>
          <w:sz w:val="32"/>
          <w:szCs w:val="32"/>
          <w:highlight w:val="none"/>
        </w:rPr>
        <w:t>提交的</w:t>
      </w:r>
      <w:r>
        <w:rPr>
          <w:rFonts w:hint="eastAsia" w:ascii="仿宋_GB2312" w:hAnsi="仿宋_GB2312" w:eastAsia="仿宋_GB2312" w:cs="仿宋_GB2312"/>
          <w:color w:val="auto"/>
          <w:sz w:val="32"/>
          <w:szCs w:val="32"/>
          <w:highlight w:val="none"/>
          <w:lang w:val="en-US" w:eastAsia="zh-CN"/>
        </w:rPr>
        <w:t>退出平台申请表</w:t>
      </w:r>
      <w:r>
        <w:rPr>
          <w:rFonts w:hint="eastAsia" w:ascii="仿宋_GB2312" w:hAnsi="仿宋_GB2312" w:eastAsia="仿宋_GB2312" w:cs="仿宋_GB2312"/>
          <w:color w:val="auto"/>
          <w:sz w:val="32"/>
          <w:szCs w:val="32"/>
          <w:highlight w:val="none"/>
        </w:rPr>
        <w:t>进入后台审核</w:t>
      </w:r>
      <w:r>
        <w:rPr>
          <w:rFonts w:hint="eastAsia" w:ascii="仿宋_GB2312" w:hAnsi="仿宋_GB2312" w:eastAsia="仿宋_GB2312" w:cs="仿宋_GB2312"/>
          <w:color w:val="auto"/>
          <w:sz w:val="32"/>
          <w:szCs w:val="32"/>
          <w:highlight w:val="none"/>
          <w:lang w:eastAsia="zh-CN"/>
        </w:rPr>
        <w:t>合作商</w:t>
      </w:r>
      <w:r>
        <w:rPr>
          <w:rFonts w:hint="eastAsia" w:ascii="仿宋_GB2312" w:hAnsi="仿宋_GB2312" w:eastAsia="仿宋_GB2312" w:cs="仿宋_GB2312"/>
          <w:color w:val="auto"/>
          <w:sz w:val="32"/>
          <w:szCs w:val="32"/>
          <w:highlight w:val="none"/>
        </w:rPr>
        <w:t>是否有正常交易中的订单，如没有未完成订单，可在平台将</w:t>
      </w:r>
      <w:r>
        <w:rPr>
          <w:rFonts w:hint="eastAsia" w:ascii="仿宋_GB2312" w:hAnsi="仿宋_GB2312" w:eastAsia="仿宋_GB2312" w:cs="仿宋_GB2312"/>
          <w:color w:val="auto"/>
          <w:sz w:val="32"/>
          <w:szCs w:val="32"/>
          <w:highlight w:val="none"/>
          <w:lang w:eastAsia="zh-CN"/>
        </w:rPr>
        <w:t>合作商</w:t>
      </w:r>
      <w:r>
        <w:rPr>
          <w:rFonts w:hint="eastAsia" w:ascii="仿宋_GB2312" w:hAnsi="仿宋_GB2312" w:eastAsia="仿宋_GB2312" w:cs="仿宋_GB2312"/>
          <w:color w:val="auto"/>
          <w:sz w:val="32"/>
          <w:szCs w:val="32"/>
          <w:highlight w:val="none"/>
        </w:rPr>
        <w:t>店铺关闭，</w:t>
      </w:r>
      <w:r>
        <w:rPr>
          <w:rFonts w:hint="eastAsia" w:ascii="仿宋_GB2312" w:hAnsi="仿宋_GB2312" w:eastAsia="仿宋_GB2312" w:cs="仿宋_GB2312"/>
          <w:color w:val="auto"/>
          <w:sz w:val="32"/>
          <w:szCs w:val="32"/>
          <w:highlight w:val="none"/>
          <w:lang w:val="en-US" w:eastAsia="zh-CN"/>
        </w:rPr>
        <w:t>同时报相关会议审议。未支付款项待客户订单确认后再代付到合作商账户内。</w:t>
      </w:r>
    </w:p>
    <w:p w14:paraId="16D08F98">
      <w:pPr>
        <w:pStyle w:val="2"/>
        <w:keepNext w:val="0"/>
        <w:keepLines w:val="0"/>
        <w:pageBreakBefore w:val="0"/>
        <w:widowControl w:val="0"/>
        <w:kinsoku/>
        <w:wordWrap/>
        <w:overflowPunct/>
        <w:topLinePunct w:val="0"/>
        <w:autoSpaceDE/>
        <w:autoSpaceDN/>
        <w:bidi w:val="0"/>
        <w:adjustRightInd/>
        <w:snapToGrid/>
        <w:spacing w:after="0" w:line="480" w:lineRule="exact"/>
        <w:ind w:firstLine="640" w:firstLineChars="200"/>
        <w:textAlignment w:val="auto"/>
        <w:rPr>
          <w:rFonts w:hint="eastAsia"/>
          <w:lang w:val="en-US" w:eastAsia="zh-CN"/>
        </w:rPr>
      </w:pPr>
      <w:r>
        <w:rPr>
          <w:rFonts w:hint="eastAsia" w:ascii="仿宋_GB2312" w:hAnsi="仿宋_GB2312" w:eastAsia="仿宋_GB2312" w:cs="仿宋_GB2312"/>
          <w:bCs/>
          <w:color w:val="auto"/>
          <w:kern w:val="2"/>
          <w:sz w:val="32"/>
          <w:szCs w:val="32"/>
          <w:lang w:val="en-US" w:eastAsia="zh-CN" w:bidi="ar-SA"/>
        </w:rPr>
        <w:t>2.协议期限届满，贵阳农商银行须对合作商进行全面评估，对内部管理不善或存在较大风险隐患的，报相关会议审议后不再续签合作协议。</w:t>
      </w:r>
    </w:p>
    <w:p w14:paraId="695B131B">
      <w:pPr>
        <w:pStyle w:val="2"/>
        <w:keepNext w:val="0"/>
        <w:keepLines w:val="0"/>
        <w:pageBreakBefore w:val="0"/>
        <w:widowControl w:val="0"/>
        <w:numPr>
          <w:ilvl w:val="0"/>
          <w:numId w:val="1"/>
        </w:numPr>
        <w:kinsoku/>
        <w:wordWrap/>
        <w:overflowPunct/>
        <w:topLinePunct w:val="0"/>
        <w:autoSpaceDE/>
        <w:autoSpaceDN/>
        <w:bidi w:val="0"/>
        <w:adjustRightInd/>
        <w:snapToGrid/>
        <w:spacing w:after="0" w:line="480" w:lineRule="exact"/>
        <w:ind w:left="0" w:leftChars="0" w:firstLine="643" w:firstLineChars="200"/>
        <w:textAlignment w:val="auto"/>
        <w:rPr>
          <w:rFonts w:hint="eastAsia" w:ascii="楷体_GB2312" w:hAnsi="楷体_GB2312" w:eastAsia="楷体_GB2312" w:cs="楷体_GB2312"/>
          <w:b/>
          <w:bCs/>
          <w:color w:val="auto"/>
          <w:sz w:val="32"/>
          <w:szCs w:val="32"/>
          <w:highlight w:val="none"/>
          <w:lang w:val="en-US" w:eastAsia="zh-CN"/>
        </w:rPr>
      </w:pPr>
      <w:r>
        <w:rPr>
          <w:rFonts w:hint="eastAsia" w:ascii="楷体_GB2312" w:hAnsi="楷体_GB2312" w:eastAsia="楷体_GB2312" w:cs="楷体_GB2312"/>
          <w:b/>
          <w:bCs/>
          <w:color w:val="auto"/>
          <w:sz w:val="32"/>
          <w:szCs w:val="32"/>
          <w:highlight w:val="none"/>
          <w:lang w:val="en-US" w:eastAsia="zh-CN"/>
        </w:rPr>
        <w:t>合作商违反合同约定被警告、处罚直至退出</w:t>
      </w:r>
    </w:p>
    <w:p w14:paraId="28ACBFF0">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lang w:val="en-US" w:eastAsia="zh-CN"/>
        </w:rPr>
        <w:t>1.</w:t>
      </w:r>
      <w:r>
        <w:rPr>
          <w:rFonts w:hint="eastAsia" w:ascii="仿宋_GB2312" w:hAnsi="仿宋_GB2312" w:eastAsia="仿宋_GB2312" w:cs="仿宋_GB2312"/>
          <w:bCs/>
          <w:color w:val="auto"/>
          <w:sz w:val="32"/>
          <w:szCs w:val="32"/>
        </w:rPr>
        <w:t>当</w:t>
      </w:r>
      <w:r>
        <w:rPr>
          <w:rFonts w:hint="eastAsia" w:ascii="仿宋_GB2312" w:hAnsi="仿宋_GB2312" w:eastAsia="仿宋_GB2312" w:cs="仿宋_GB2312"/>
          <w:bCs/>
          <w:color w:val="auto"/>
          <w:sz w:val="32"/>
          <w:szCs w:val="32"/>
          <w:lang w:eastAsia="zh-CN"/>
        </w:rPr>
        <w:t>合作商</w:t>
      </w:r>
      <w:r>
        <w:rPr>
          <w:rFonts w:hint="eastAsia" w:ascii="仿宋_GB2312" w:hAnsi="仿宋_GB2312" w:eastAsia="仿宋_GB2312" w:cs="仿宋_GB2312"/>
          <w:bCs/>
          <w:color w:val="auto"/>
          <w:sz w:val="32"/>
          <w:szCs w:val="32"/>
        </w:rPr>
        <w:t>出现以下情形之一时，将被书面警告：</w:t>
      </w:r>
    </w:p>
    <w:p w14:paraId="0F995F00">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lang w:val="en-US" w:eastAsia="zh-CN"/>
        </w:rPr>
        <w:t>1</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rPr>
        <w:t>未按</w:t>
      </w:r>
      <w:r>
        <w:rPr>
          <w:rFonts w:hint="eastAsia" w:ascii="仿宋_GB2312" w:hAnsi="仿宋_GB2312" w:eastAsia="仿宋_GB2312" w:cs="仿宋_GB2312"/>
          <w:bCs/>
          <w:color w:val="auto"/>
          <w:sz w:val="32"/>
          <w:szCs w:val="32"/>
          <w:lang w:val="en-US" w:eastAsia="zh-CN"/>
        </w:rPr>
        <w:t>合同约定时间向贵阳农商银行客户</w:t>
      </w:r>
      <w:r>
        <w:rPr>
          <w:rFonts w:hint="eastAsia" w:ascii="仿宋_GB2312" w:hAnsi="仿宋_GB2312" w:eastAsia="仿宋_GB2312" w:cs="仿宋_GB2312"/>
          <w:bCs/>
          <w:color w:val="auto"/>
          <w:sz w:val="32"/>
          <w:szCs w:val="32"/>
        </w:rPr>
        <w:t>配送商品或提供服务等，但未给</w:t>
      </w:r>
      <w:r>
        <w:rPr>
          <w:rFonts w:hint="eastAsia" w:ascii="仿宋_GB2312" w:hAnsi="仿宋_GB2312" w:eastAsia="仿宋_GB2312" w:cs="仿宋_GB2312"/>
          <w:bCs/>
          <w:color w:val="auto"/>
          <w:sz w:val="32"/>
          <w:szCs w:val="32"/>
          <w:lang w:eastAsia="zh-CN"/>
        </w:rPr>
        <w:t>贵阳农商银行</w:t>
      </w:r>
      <w:r>
        <w:rPr>
          <w:rFonts w:hint="eastAsia" w:ascii="仿宋_GB2312" w:hAnsi="仿宋_GB2312" w:eastAsia="仿宋_GB2312" w:cs="仿宋_GB2312"/>
          <w:bCs/>
          <w:color w:val="auto"/>
          <w:sz w:val="32"/>
          <w:szCs w:val="32"/>
        </w:rPr>
        <w:t>造成不良影响或者未引起较大客户投诉事件的；</w:t>
      </w:r>
    </w:p>
    <w:p w14:paraId="037A48D1">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lang w:val="en-US" w:eastAsia="zh-CN"/>
        </w:rPr>
        <w:t>2</w:t>
      </w:r>
      <w:r>
        <w:rPr>
          <w:rFonts w:hint="eastAsia" w:ascii="仿宋_GB2312" w:hAnsi="仿宋_GB2312" w:eastAsia="仿宋_GB2312" w:cs="仿宋_GB2312"/>
          <w:bCs/>
          <w:color w:val="auto"/>
          <w:sz w:val="32"/>
          <w:szCs w:val="32"/>
          <w:lang w:eastAsia="zh-CN"/>
        </w:rPr>
        <w:t>）合作商</w:t>
      </w:r>
      <w:r>
        <w:rPr>
          <w:rFonts w:hint="eastAsia" w:ascii="仿宋_GB2312" w:hAnsi="仿宋_GB2312" w:eastAsia="仿宋_GB2312" w:cs="仿宋_GB2312"/>
          <w:bCs/>
          <w:color w:val="auto"/>
          <w:sz w:val="32"/>
          <w:szCs w:val="32"/>
        </w:rPr>
        <w:t>在平台发布商品的</w:t>
      </w:r>
      <w:r>
        <w:rPr>
          <w:rFonts w:hint="eastAsia" w:ascii="仿宋_GB2312" w:hAnsi="仿宋_GB2312" w:eastAsia="仿宋_GB2312" w:cs="仿宋_GB2312"/>
          <w:bCs/>
          <w:color w:val="auto"/>
          <w:sz w:val="32"/>
          <w:szCs w:val="32"/>
          <w:lang w:val="en-US" w:eastAsia="zh-CN"/>
        </w:rPr>
        <w:t>服务</w:t>
      </w:r>
      <w:r>
        <w:rPr>
          <w:rFonts w:hint="eastAsia" w:ascii="仿宋_GB2312" w:hAnsi="仿宋_GB2312" w:eastAsia="仿宋_GB2312" w:cs="仿宋_GB2312"/>
          <w:bCs/>
          <w:color w:val="auto"/>
          <w:sz w:val="32"/>
          <w:szCs w:val="32"/>
        </w:rPr>
        <w:t>价格，违反法律法规以及其与</w:t>
      </w:r>
      <w:r>
        <w:rPr>
          <w:rFonts w:hint="eastAsia" w:ascii="仿宋_GB2312" w:hAnsi="仿宋_GB2312" w:eastAsia="仿宋_GB2312" w:cs="仿宋_GB2312"/>
          <w:bCs/>
          <w:color w:val="auto"/>
          <w:sz w:val="32"/>
          <w:szCs w:val="32"/>
          <w:lang w:val="en-US" w:eastAsia="zh-CN"/>
        </w:rPr>
        <w:t>贵阳农商银行</w:t>
      </w:r>
      <w:r>
        <w:rPr>
          <w:rFonts w:hint="eastAsia" w:ascii="仿宋_GB2312" w:hAnsi="仿宋_GB2312" w:eastAsia="仿宋_GB2312" w:cs="仿宋_GB2312"/>
          <w:bCs/>
          <w:color w:val="auto"/>
          <w:sz w:val="32"/>
          <w:szCs w:val="32"/>
        </w:rPr>
        <w:t>签订</w:t>
      </w:r>
      <w:r>
        <w:rPr>
          <w:rFonts w:hint="eastAsia" w:ascii="仿宋_GB2312" w:hAnsi="仿宋_GB2312" w:eastAsia="仿宋_GB2312" w:cs="仿宋_GB2312"/>
          <w:bCs/>
          <w:color w:val="auto"/>
          <w:sz w:val="32"/>
          <w:szCs w:val="32"/>
          <w:lang w:val="en-US" w:eastAsia="zh-CN"/>
        </w:rPr>
        <w:t>合同</w:t>
      </w:r>
      <w:r>
        <w:rPr>
          <w:rFonts w:hint="eastAsia" w:ascii="仿宋_GB2312" w:hAnsi="仿宋_GB2312" w:eastAsia="仿宋_GB2312" w:cs="仿宋_GB2312"/>
          <w:bCs/>
          <w:color w:val="auto"/>
          <w:sz w:val="32"/>
          <w:szCs w:val="32"/>
        </w:rPr>
        <w:t>中关于</w:t>
      </w:r>
      <w:r>
        <w:rPr>
          <w:rFonts w:hint="eastAsia" w:ascii="仿宋_GB2312" w:hAnsi="仿宋_GB2312" w:eastAsia="仿宋_GB2312" w:cs="仿宋_GB2312"/>
          <w:bCs/>
          <w:color w:val="auto"/>
          <w:sz w:val="32"/>
          <w:szCs w:val="32"/>
          <w:lang w:val="en-US" w:eastAsia="zh-CN"/>
        </w:rPr>
        <w:t>服务</w:t>
      </w:r>
      <w:r>
        <w:rPr>
          <w:rFonts w:hint="eastAsia" w:ascii="仿宋_GB2312" w:hAnsi="仿宋_GB2312" w:eastAsia="仿宋_GB2312" w:cs="仿宋_GB2312"/>
          <w:bCs/>
          <w:color w:val="auto"/>
          <w:sz w:val="32"/>
          <w:szCs w:val="32"/>
        </w:rPr>
        <w:t>价格的相关规定/约定，包括但不限于：相同商品价格高于其他平台</w:t>
      </w:r>
      <w:r>
        <w:rPr>
          <w:rFonts w:hint="eastAsia" w:ascii="仿宋_GB2312" w:hAnsi="仿宋_GB2312" w:eastAsia="仿宋_GB2312" w:cs="仿宋_GB2312"/>
          <w:bCs/>
          <w:color w:val="auto"/>
          <w:sz w:val="32"/>
          <w:szCs w:val="32"/>
          <w:lang w:val="en-US" w:eastAsia="zh-CN"/>
        </w:rPr>
        <w:t>定价</w:t>
      </w:r>
      <w:r>
        <w:rPr>
          <w:rFonts w:hint="eastAsia" w:ascii="仿宋_GB2312" w:hAnsi="仿宋_GB2312" w:eastAsia="仿宋_GB2312" w:cs="仿宋_GB2312"/>
          <w:bCs/>
          <w:color w:val="auto"/>
          <w:sz w:val="32"/>
          <w:szCs w:val="32"/>
        </w:rPr>
        <w:t>、高于实际定价或虚高原价后再打折促销等情形；</w:t>
      </w:r>
    </w:p>
    <w:p w14:paraId="12F978B0">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lang w:val="en-US" w:eastAsia="zh-CN"/>
        </w:rPr>
        <w:t>3</w:t>
      </w:r>
      <w:r>
        <w:rPr>
          <w:rFonts w:hint="eastAsia" w:ascii="仿宋_GB2312" w:hAnsi="仿宋_GB2312" w:eastAsia="仿宋_GB2312" w:cs="仿宋_GB2312"/>
          <w:bCs/>
          <w:color w:val="auto"/>
          <w:sz w:val="32"/>
          <w:szCs w:val="32"/>
          <w:lang w:eastAsia="zh-CN"/>
        </w:rPr>
        <w:t>）合作商</w:t>
      </w:r>
      <w:r>
        <w:rPr>
          <w:rFonts w:hint="eastAsia" w:ascii="仿宋_GB2312" w:hAnsi="仿宋_GB2312" w:eastAsia="仿宋_GB2312" w:cs="仿宋_GB2312"/>
          <w:bCs/>
          <w:color w:val="auto"/>
          <w:sz w:val="32"/>
          <w:szCs w:val="32"/>
        </w:rPr>
        <w:t>在设置商品活动过程中，以任何虚假优惠活动方式来获取商品销量、</w:t>
      </w:r>
      <w:r>
        <w:rPr>
          <w:rFonts w:hint="eastAsia" w:ascii="仿宋_GB2312" w:hAnsi="仿宋_GB2312" w:eastAsia="仿宋_GB2312" w:cs="仿宋_GB2312"/>
          <w:bCs/>
          <w:color w:val="auto"/>
          <w:sz w:val="32"/>
          <w:szCs w:val="32"/>
          <w:lang w:val="en-US" w:eastAsia="zh-CN"/>
        </w:rPr>
        <w:t>商品</w:t>
      </w:r>
      <w:r>
        <w:rPr>
          <w:rFonts w:hint="eastAsia" w:ascii="仿宋_GB2312" w:hAnsi="仿宋_GB2312" w:eastAsia="仿宋_GB2312" w:cs="仿宋_GB2312"/>
          <w:bCs/>
          <w:color w:val="auto"/>
          <w:sz w:val="32"/>
          <w:szCs w:val="32"/>
        </w:rPr>
        <w:t>评分、商品评论等违法违规的行为；</w:t>
      </w:r>
    </w:p>
    <w:p w14:paraId="688199B3">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lang w:val="en-US" w:eastAsia="zh-CN"/>
        </w:rPr>
        <w:t>4</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rPr>
        <w:t>考核</w:t>
      </w:r>
      <w:r>
        <w:rPr>
          <w:rFonts w:hint="eastAsia" w:ascii="仿宋_GB2312" w:hAnsi="仿宋_GB2312" w:eastAsia="仿宋_GB2312" w:cs="仿宋_GB2312"/>
          <w:bCs/>
          <w:color w:val="auto"/>
          <w:sz w:val="32"/>
          <w:szCs w:val="32"/>
          <w:lang w:val="en-US" w:eastAsia="zh-CN"/>
        </w:rPr>
        <w:t>评价</w:t>
      </w:r>
      <w:r>
        <w:rPr>
          <w:rFonts w:hint="eastAsia" w:ascii="仿宋_GB2312" w:hAnsi="仿宋_GB2312" w:eastAsia="仿宋_GB2312" w:cs="仿宋_GB2312"/>
          <w:bCs/>
          <w:color w:val="auto"/>
          <w:sz w:val="32"/>
          <w:szCs w:val="32"/>
        </w:rPr>
        <w:t>结果不符合</w:t>
      </w:r>
      <w:r>
        <w:rPr>
          <w:rFonts w:hint="eastAsia" w:ascii="仿宋_GB2312" w:hAnsi="仿宋_GB2312" w:eastAsia="仿宋_GB2312" w:cs="仿宋_GB2312"/>
          <w:bCs/>
          <w:color w:val="auto"/>
          <w:sz w:val="32"/>
          <w:szCs w:val="32"/>
          <w:lang w:eastAsia="zh-CN"/>
        </w:rPr>
        <w:t>贵阳农商银行</w:t>
      </w:r>
      <w:r>
        <w:rPr>
          <w:rFonts w:hint="eastAsia" w:ascii="仿宋_GB2312" w:hAnsi="仿宋_GB2312" w:eastAsia="仿宋_GB2312" w:cs="仿宋_GB2312"/>
          <w:bCs/>
          <w:color w:val="auto"/>
          <w:sz w:val="32"/>
          <w:szCs w:val="32"/>
        </w:rPr>
        <w:t>要求的其他情况。</w:t>
      </w:r>
    </w:p>
    <w:p w14:paraId="15BA86B6">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lang w:val="en-US" w:eastAsia="zh-CN"/>
        </w:rPr>
        <w:t>2.</w:t>
      </w:r>
      <w:r>
        <w:rPr>
          <w:rFonts w:hint="eastAsia" w:ascii="仿宋_GB2312" w:hAnsi="仿宋_GB2312" w:eastAsia="仿宋_GB2312" w:cs="仿宋_GB2312"/>
          <w:bCs/>
          <w:color w:val="auto"/>
          <w:sz w:val="32"/>
          <w:szCs w:val="32"/>
        </w:rPr>
        <w:t>当</w:t>
      </w:r>
      <w:r>
        <w:rPr>
          <w:rFonts w:hint="eastAsia" w:ascii="仿宋_GB2312" w:hAnsi="仿宋_GB2312" w:eastAsia="仿宋_GB2312" w:cs="仿宋_GB2312"/>
          <w:bCs/>
          <w:color w:val="auto"/>
          <w:sz w:val="32"/>
          <w:szCs w:val="32"/>
          <w:lang w:eastAsia="zh-CN"/>
        </w:rPr>
        <w:t>合作商</w:t>
      </w:r>
      <w:r>
        <w:rPr>
          <w:rFonts w:hint="eastAsia" w:ascii="仿宋_GB2312" w:hAnsi="仿宋_GB2312" w:eastAsia="仿宋_GB2312" w:cs="仿宋_GB2312"/>
          <w:bCs/>
          <w:color w:val="auto"/>
          <w:sz w:val="32"/>
          <w:szCs w:val="32"/>
        </w:rPr>
        <w:t>出现以下情形之一时，将被暂停平台服务</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rPr>
        <w:t>延期</w:t>
      </w:r>
      <w:r>
        <w:rPr>
          <w:rFonts w:hint="eastAsia" w:ascii="仿宋_GB2312" w:hAnsi="仿宋_GB2312" w:eastAsia="仿宋_GB2312" w:cs="仿宋_GB2312"/>
          <w:bCs/>
          <w:color w:val="auto"/>
          <w:sz w:val="32"/>
          <w:szCs w:val="32"/>
          <w:lang w:val="en-US" w:eastAsia="zh-CN"/>
        </w:rPr>
        <w:t>代付货款处罚</w:t>
      </w:r>
      <w:r>
        <w:rPr>
          <w:rFonts w:hint="eastAsia" w:ascii="仿宋_GB2312" w:hAnsi="仿宋_GB2312" w:eastAsia="仿宋_GB2312" w:cs="仿宋_GB2312"/>
          <w:bCs/>
          <w:color w:val="auto"/>
          <w:sz w:val="32"/>
          <w:szCs w:val="32"/>
        </w:rPr>
        <w:t>：</w:t>
      </w:r>
    </w:p>
    <w:p w14:paraId="33096FCE">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lang w:val="en-US" w:eastAsia="zh-CN"/>
        </w:rPr>
        <w:t>1</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rPr>
        <w:t>未按</w:t>
      </w:r>
      <w:r>
        <w:rPr>
          <w:rFonts w:hint="eastAsia" w:ascii="仿宋_GB2312" w:hAnsi="仿宋_GB2312" w:eastAsia="仿宋_GB2312" w:cs="仿宋_GB2312"/>
          <w:bCs/>
          <w:color w:val="auto"/>
          <w:sz w:val="32"/>
          <w:szCs w:val="32"/>
          <w:lang w:val="en-US" w:eastAsia="zh-CN"/>
        </w:rPr>
        <w:t>合同约定时间向贵阳农商银行客户</w:t>
      </w:r>
      <w:r>
        <w:rPr>
          <w:rFonts w:hint="eastAsia" w:ascii="仿宋_GB2312" w:hAnsi="仿宋_GB2312" w:eastAsia="仿宋_GB2312" w:cs="仿宋_GB2312"/>
          <w:bCs/>
          <w:color w:val="auto"/>
          <w:sz w:val="32"/>
          <w:szCs w:val="32"/>
        </w:rPr>
        <w:t>配送商品或提供服务等，给</w:t>
      </w:r>
      <w:r>
        <w:rPr>
          <w:rFonts w:hint="eastAsia" w:ascii="仿宋_GB2312" w:hAnsi="仿宋_GB2312" w:eastAsia="仿宋_GB2312" w:cs="仿宋_GB2312"/>
          <w:bCs/>
          <w:color w:val="auto"/>
          <w:sz w:val="32"/>
          <w:szCs w:val="32"/>
          <w:lang w:eastAsia="zh-CN"/>
        </w:rPr>
        <w:t>贵阳农商银行</w:t>
      </w:r>
      <w:r>
        <w:rPr>
          <w:rFonts w:hint="eastAsia" w:ascii="仿宋_GB2312" w:hAnsi="仿宋_GB2312" w:eastAsia="仿宋_GB2312" w:cs="仿宋_GB2312"/>
          <w:bCs/>
          <w:color w:val="auto"/>
          <w:sz w:val="32"/>
          <w:szCs w:val="32"/>
        </w:rPr>
        <w:t>造成不良影响或者引起较大客户投诉事件的；</w:t>
      </w:r>
    </w:p>
    <w:p w14:paraId="285725E5">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lang w:val="en-US" w:eastAsia="zh-CN"/>
        </w:rPr>
        <w:t>2</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rPr>
        <w:t>未及时处理客户退换货要求并与客户产生直接争执造成客户情绪不满引起客户投诉事件的；</w:t>
      </w:r>
    </w:p>
    <w:p w14:paraId="6E02718B">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lang w:val="en-US" w:eastAsia="zh-CN"/>
        </w:rPr>
        <w:t>3</w:t>
      </w:r>
      <w:r>
        <w:rPr>
          <w:rFonts w:hint="eastAsia" w:ascii="仿宋_GB2312" w:hAnsi="仿宋_GB2312" w:eastAsia="仿宋_GB2312" w:cs="仿宋_GB2312"/>
          <w:bCs/>
          <w:color w:val="auto"/>
          <w:sz w:val="32"/>
          <w:szCs w:val="32"/>
          <w:lang w:eastAsia="zh-CN"/>
        </w:rPr>
        <w:t>）合作商</w:t>
      </w:r>
      <w:r>
        <w:rPr>
          <w:rFonts w:hint="eastAsia" w:ascii="仿宋_GB2312" w:hAnsi="仿宋_GB2312" w:eastAsia="仿宋_GB2312" w:cs="仿宋_GB2312"/>
          <w:bCs/>
          <w:color w:val="auto"/>
          <w:sz w:val="32"/>
          <w:szCs w:val="32"/>
        </w:rPr>
        <w:t>通过虚构或隐瞒交易事实、干扰或妨害交易正常秩序等不正当方式获取虚假的商品销量及评分、交易金额等不当利益的行为，或者恶意损害其他</w:t>
      </w:r>
      <w:r>
        <w:rPr>
          <w:rFonts w:hint="eastAsia" w:ascii="仿宋_GB2312" w:hAnsi="仿宋_GB2312" w:eastAsia="仿宋_GB2312" w:cs="仿宋_GB2312"/>
          <w:bCs/>
          <w:color w:val="auto"/>
          <w:sz w:val="32"/>
          <w:szCs w:val="32"/>
          <w:lang w:eastAsia="zh-CN"/>
        </w:rPr>
        <w:t>合作商</w:t>
      </w:r>
      <w:r>
        <w:rPr>
          <w:rFonts w:hint="eastAsia" w:ascii="仿宋_GB2312" w:hAnsi="仿宋_GB2312" w:eastAsia="仿宋_GB2312" w:cs="仿宋_GB2312"/>
          <w:bCs/>
          <w:color w:val="auto"/>
          <w:sz w:val="32"/>
          <w:szCs w:val="32"/>
        </w:rPr>
        <w:t>或任何第三方合法权益的行为；</w:t>
      </w:r>
    </w:p>
    <w:p w14:paraId="30369112">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lang w:val="en-US" w:eastAsia="zh-CN"/>
        </w:rPr>
        <w:t>4</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rPr>
        <w:t>考核</w:t>
      </w:r>
      <w:r>
        <w:rPr>
          <w:rFonts w:hint="eastAsia" w:ascii="仿宋_GB2312" w:hAnsi="仿宋_GB2312" w:eastAsia="仿宋_GB2312" w:cs="仿宋_GB2312"/>
          <w:bCs/>
          <w:color w:val="auto"/>
          <w:sz w:val="32"/>
          <w:szCs w:val="32"/>
          <w:lang w:val="en-US" w:eastAsia="zh-CN"/>
        </w:rPr>
        <w:t>评价</w:t>
      </w:r>
      <w:r>
        <w:rPr>
          <w:rFonts w:hint="eastAsia" w:ascii="仿宋_GB2312" w:hAnsi="仿宋_GB2312" w:eastAsia="仿宋_GB2312" w:cs="仿宋_GB2312"/>
          <w:bCs/>
          <w:color w:val="auto"/>
          <w:sz w:val="32"/>
          <w:szCs w:val="32"/>
        </w:rPr>
        <w:t>结果不符合</w:t>
      </w:r>
      <w:r>
        <w:rPr>
          <w:rFonts w:hint="eastAsia" w:ascii="仿宋_GB2312" w:hAnsi="仿宋_GB2312" w:eastAsia="仿宋_GB2312" w:cs="仿宋_GB2312"/>
          <w:bCs/>
          <w:color w:val="auto"/>
          <w:sz w:val="32"/>
          <w:szCs w:val="32"/>
          <w:lang w:eastAsia="zh-CN"/>
        </w:rPr>
        <w:t>贵阳农商银行</w:t>
      </w:r>
      <w:r>
        <w:rPr>
          <w:rFonts w:hint="eastAsia" w:ascii="仿宋_GB2312" w:hAnsi="仿宋_GB2312" w:eastAsia="仿宋_GB2312" w:cs="仿宋_GB2312"/>
          <w:bCs/>
          <w:color w:val="auto"/>
          <w:sz w:val="32"/>
          <w:szCs w:val="32"/>
        </w:rPr>
        <w:t>要求的其他情况。</w:t>
      </w:r>
    </w:p>
    <w:p w14:paraId="2BF31A4C">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lang w:val="en-US" w:eastAsia="zh-CN"/>
        </w:rPr>
        <w:t>3.</w:t>
      </w:r>
      <w:r>
        <w:rPr>
          <w:rFonts w:hint="eastAsia" w:ascii="仿宋_GB2312" w:hAnsi="仿宋_GB2312" w:eastAsia="仿宋_GB2312" w:cs="仿宋_GB2312"/>
          <w:bCs/>
          <w:color w:val="auto"/>
          <w:sz w:val="32"/>
          <w:szCs w:val="32"/>
        </w:rPr>
        <w:t>当</w:t>
      </w:r>
      <w:r>
        <w:rPr>
          <w:rFonts w:hint="eastAsia" w:ascii="仿宋_GB2312" w:hAnsi="仿宋_GB2312" w:eastAsia="仿宋_GB2312" w:cs="仿宋_GB2312"/>
          <w:bCs/>
          <w:color w:val="auto"/>
          <w:sz w:val="32"/>
          <w:szCs w:val="32"/>
          <w:lang w:eastAsia="zh-CN"/>
        </w:rPr>
        <w:t>合作商</w:t>
      </w:r>
      <w:r>
        <w:rPr>
          <w:rFonts w:hint="eastAsia" w:ascii="仿宋_GB2312" w:hAnsi="仿宋_GB2312" w:eastAsia="仿宋_GB2312" w:cs="仿宋_GB2312"/>
          <w:bCs/>
          <w:color w:val="auto"/>
          <w:sz w:val="32"/>
          <w:szCs w:val="32"/>
        </w:rPr>
        <w:t>出现以下情形之一时，</w:t>
      </w:r>
      <w:r>
        <w:rPr>
          <w:rFonts w:hint="eastAsia" w:ascii="仿宋_GB2312" w:hAnsi="仿宋_GB2312" w:eastAsia="仿宋_GB2312" w:cs="仿宋_GB2312"/>
          <w:bCs/>
          <w:color w:val="auto"/>
          <w:sz w:val="32"/>
          <w:szCs w:val="32"/>
          <w:lang w:eastAsia="zh-CN"/>
        </w:rPr>
        <w:t>贵阳农商银行</w:t>
      </w:r>
      <w:r>
        <w:rPr>
          <w:rFonts w:hint="eastAsia" w:ascii="仿宋_GB2312" w:hAnsi="仿宋_GB2312" w:eastAsia="仿宋_GB2312" w:cs="仿宋_GB2312"/>
          <w:bCs/>
          <w:color w:val="auto"/>
          <w:sz w:val="32"/>
          <w:szCs w:val="32"/>
        </w:rPr>
        <w:t>将终止合同，如给</w:t>
      </w:r>
      <w:r>
        <w:rPr>
          <w:rFonts w:hint="eastAsia" w:ascii="仿宋_GB2312" w:hAnsi="仿宋_GB2312" w:eastAsia="仿宋_GB2312" w:cs="仿宋_GB2312"/>
          <w:bCs/>
          <w:color w:val="auto"/>
          <w:sz w:val="32"/>
          <w:szCs w:val="32"/>
          <w:lang w:eastAsia="zh-CN"/>
        </w:rPr>
        <w:t>贵阳农商银行</w:t>
      </w:r>
      <w:r>
        <w:rPr>
          <w:rFonts w:hint="eastAsia" w:ascii="仿宋_GB2312" w:hAnsi="仿宋_GB2312" w:eastAsia="仿宋_GB2312" w:cs="仿宋_GB2312"/>
          <w:bCs/>
          <w:color w:val="auto"/>
          <w:sz w:val="32"/>
          <w:szCs w:val="32"/>
        </w:rPr>
        <w:t>造成实际损失的，应追究其相关责任：</w:t>
      </w:r>
    </w:p>
    <w:p w14:paraId="29B57F4A">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lang w:val="en-US" w:eastAsia="zh-CN"/>
        </w:rPr>
        <w:t>1</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rPr>
        <w:t>未按</w:t>
      </w:r>
      <w:r>
        <w:rPr>
          <w:rFonts w:hint="eastAsia" w:ascii="仿宋_GB2312" w:hAnsi="仿宋_GB2312" w:eastAsia="仿宋_GB2312" w:cs="仿宋_GB2312"/>
          <w:bCs/>
          <w:color w:val="auto"/>
          <w:sz w:val="32"/>
          <w:szCs w:val="32"/>
          <w:lang w:val="en-US" w:eastAsia="zh-CN"/>
        </w:rPr>
        <w:t>合同约定时间向贵阳农商银行客户</w:t>
      </w:r>
      <w:r>
        <w:rPr>
          <w:rFonts w:hint="eastAsia" w:ascii="仿宋_GB2312" w:hAnsi="仿宋_GB2312" w:eastAsia="仿宋_GB2312" w:cs="仿宋_GB2312"/>
          <w:bCs/>
          <w:color w:val="auto"/>
          <w:sz w:val="32"/>
          <w:szCs w:val="32"/>
        </w:rPr>
        <w:t>配送商品或提供服务等，给</w:t>
      </w:r>
      <w:r>
        <w:rPr>
          <w:rFonts w:hint="eastAsia" w:ascii="仿宋_GB2312" w:hAnsi="仿宋_GB2312" w:eastAsia="仿宋_GB2312" w:cs="仿宋_GB2312"/>
          <w:bCs/>
          <w:color w:val="auto"/>
          <w:sz w:val="32"/>
          <w:szCs w:val="32"/>
          <w:lang w:eastAsia="zh-CN"/>
        </w:rPr>
        <w:t>贵阳农商银行</w:t>
      </w:r>
      <w:r>
        <w:rPr>
          <w:rFonts w:hint="eastAsia" w:ascii="仿宋_GB2312" w:hAnsi="仿宋_GB2312" w:eastAsia="仿宋_GB2312" w:cs="仿宋_GB2312"/>
          <w:bCs/>
          <w:color w:val="auto"/>
          <w:sz w:val="32"/>
          <w:szCs w:val="32"/>
        </w:rPr>
        <w:t>造成重大影响的，或者引起重大客户投诉事件被媒体曝光造成重大影响的；</w:t>
      </w:r>
    </w:p>
    <w:p w14:paraId="35EED974">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lang w:val="en-US" w:eastAsia="zh-CN"/>
        </w:rPr>
        <w:t>2</w:t>
      </w:r>
      <w:r>
        <w:rPr>
          <w:rFonts w:hint="eastAsia" w:ascii="仿宋_GB2312" w:hAnsi="仿宋_GB2312" w:eastAsia="仿宋_GB2312" w:cs="仿宋_GB2312"/>
          <w:bCs/>
          <w:color w:val="auto"/>
          <w:sz w:val="32"/>
          <w:szCs w:val="32"/>
          <w:lang w:eastAsia="zh-CN"/>
        </w:rPr>
        <w:t>）合作商</w:t>
      </w:r>
      <w:r>
        <w:rPr>
          <w:rFonts w:hint="eastAsia" w:ascii="仿宋_GB2312" w:hAnsi="仿宋_GB2312" w:eastAsia="仿宋_GB2312" w:cs="仿宋_GB2312"/>
          <w:bCs/>
          <w:color w:val="auto"/>
          <w:sz w:val="32"/>
          <w:szCs w:val="32"/>
        </w:rPr>
        <w:t>通过虚构或隐瞒交易事实、干扰或妨碍交易正常秩序等不正当方式套取平台补贴、获取虚假的商品销量及评分、交易金额等不当利益的行为，或者恶意损害其他</w:t>
      </w:r>
      <w:r>
        <w:rPr>
          <w:rFonts w:hint="eastAsia" w:ascii="仿宋_GB2312" w:hAnsi="仿宋_GB2312" w:eastAsia="仿宋_GB2312" w:cs="仿宋_GB2312"/>
          <w:bCs/>
          <w:color w:val="auto"/>
          <w:sz w:val="32"/>
          <w:szCs w:val="32"/>
          <w:lang w:eastAsia="zh-CN"/>
        </w:rPr>
        <w:t>合作商</w:t>
      </w:r>
      <w:r>
        <w:rPr>
          <w:rFonts w:hint="eastAsia" w:ascii="仿宋_GB2312" w:hAnsi="仿宋_GB2312" w:eastAsia="仿宋_GB2312" w:cs="仿宋_GB2312"/>
          <w:bCs/>
          <w:color w:val="auto"/>
          <w:sz w:val="32"/>
          <w:szCs w:val="32"/>
        </w:rPr>
        <w:t>或任何第三方合法权益的行为；</w:t>
      </w:r>
    </w:p>
    <w:p w14:paraId="2AFF3380">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lang w:val="en-US" w:eastAsia="zh-CN"/>
        </w:rPr>
        <w:t>3</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rPr>
        <w:t>公司、法定代表人或主要管理人员被执法部门调查发现有违规、违法现象，调查结果属实的；</w:t>
      </w:r>
    </w:p>
    <w:p w14:paraId="71134C2F">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both"/>
        <w:textAlignment w:val="auto"/>
        <w:rPr>
          <w:rFonts w:ascii="仿宋" w:hAnsi="仿宋" w:eastAsia="仿宋"/>
          <w:color w:val="auto"/>
          <w:sz w:val="32"/>
          <w:szCs w:val="32"/>
        </w:rPr>
      </w:pP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lang w:val="en-US" w:eastAsia="zh-CN"/>
        </w:rPr>
        <w:t>4</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rPr>
        <w:t>其他违法、违规、违约行为，给</w:t>
      </w:r>
      <w:r>
        <w:rPr>
          <w:rFonts w:hint="eastAsia" w:ascii="仿宋_GB2312" w:hAnsi="仿宋_GB2312" w:eastAsia="仿宋_GB2312" w:cs="仿宋_GB2312"/>
          <w:bCs/>
          <w:color w:val="auto"/>
          <w:sz w:val="32"/>
          <w:szCs w:val="32"/>
          <w:lang w:eastAsia="zh-CN"/>
        </w:rPr>
        <w:t>贵阳农商银行</w:t>
      </w:r>
      <w:r>
        <w:rPr>
          <w:rFonts w:hint="eastAsia" w:ascii="仿宋_GB2312" w:hAnsi="仿宋_GB2312" w:eastAsia="仿宋_GB2312" w:cs="仿宋_GB2312"/>
          <w:bCs/>
          <w:color w:val="auto"/>
          <w:sz w:val="32"/>
          <w:szCs w:val="32"/>
        </w:rPr>
        <w:t>造成重大损失的；</w:t>
      </w:r>
    </w:p>
    <w:p w14:paraId="7C233954">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lang w:val="en-US" w:eastAsia="zh-CN"/>
        </w:rPr>
        <w:t>5</w:t>
      </w:r>
      <w:r>
        <w:rPr>
          <w:rFonts w:hint="eastAsia" w:ascii="仿宋_GB2312" w:hAnsi="仿宋_GB2312" w:eastAsia="仿宋_GB2312" w:cs="仿宋_GB2312"/>
          <w:bCs/>
          <w:color w:val="auto"/>
          <w:sz w:val="32"/>
          <w:szCs w:val="32"/>
          <w:lang w:eastAsia="zh-CN"/>
        </w:rPr>
        <w:t>）合作商</w:t>
      </w:r>
      <w:r>
        <w:rPr>
          <w:rFonts w:hint="eastAsia" w:ascii="仿宋_GB2312" w:hAnsi="仿宋_GB2312" w:eastAsia="仿宋_GB2312" w:cs="仿宋_GB2312"/>
          <w:bCs/>
          <w:color w:val="auto"/>
          <w:sz w:val="32"/>
          <w:szCs w:val="32"/>
        </w:rPr>
        <w:t>及其相关人员试图将平台用户转移到其他平台，或引导用户进行线下交易的行为。</w:t>
      </w:r>
    </w:p>
    <w:p w14:paraId="76A19C4E">
      <w:pPr>
        <w:pStyle w:val="2"/>
        <w:keepNext w:val="0"/>
        <w:keepLines w:val="0"/>
        <w:pageBreakBefore w:val="0"/>
        <w:widowControl w:val="0"/>
        <w:kinsoku/>
        <w:wordWrap/>
        <w:overflowPunct/>
        <w:topLinePunct w:val="0"/>
        <w:autoSpaceDE/>
        <w:autoSpaceDN/>
        <w:bidi w:val="0"/>
        <w:adjustRightInd/>
        <w:snapToGrid/>
        <w:spacing w:after="0" w:line="480" w:lineRule="exact"/>
        <w:ind w:firstLine="643" w:firstLineChars="200"/>
        <w:textAlignment w:val="auto"/>
        <w:rPr>
          <w:rFonts w:hint="eastAsia" w:ascii="楷体_GB2312" w:hAnsi="楷体_GB2312" w:eastAsia="楷体_GB2312" w:cs="楷体_GB2312"/>
          <w:b/>
          <w:bCs w:val="0"/>
          <w:color w:val="auto"/>
          <w:kern w:val="2"/>
          <w:sz w:val="32"/>
          <w:szCs w:val="32"/>
          <w:lang w:val="en-US" w:eastAsia="zh-CN" w:bidi="ar-SA"/>
        </w:rPr>
      </w:pPr>
      <w:r>
        <w:rPr>
          <w:rFonts w:hint="eastAsia" w:ascii="楷体_GB2312" w:hAnsi="楷体_GB2312" w:eastAsia="楷体_GB2312" w:cs="楷体_GB2312"/>
          <w:b/>
          <w:bCs w:val="0"/>
          <w:color w:val="auto"/>
          <w:kern w:val="2"/>
          <w:sz w:val="32"/>
          <w:szCs w:val="32"/>
          <w:lang w:val="en-US" w:eastAsia="zh-CN" w:bidi="ar-SA"/>
        </w:rPr>
        <w:t>（三）运行中检查或年度考评不合格退出</w:t>
      </w:r>
    </w:p>
    <w:p w14:paraId="02513012">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1.贵阳农商银行将不定期对合作商上架商品进行比价，如发现某款上架商品服务价格高于基准定价测算的最终合作价格，贵阳农商银行将下发整改通知书要求合作商按约定的最终合作价格规则重新上架改商品，并在下次代付货款时据实扣除该商品上架价格高于最终合作价格的金额。如多次出现该情况的，报相关会议审议后对合作商进行清退。</w:t>
      </w:r>
    </w:p>
    <w:p w14:paraId="67C1ED50">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kern w:val="2"/>
          <w:sz w:val="32"/>
          <w:szCs w:val="32"/>
          <w:lang w:val="en-US" w:eastAsia="zh-CN" w:bidi="ar-SA"/>
        </w:rPr>
        <w:t>2.当合作商出现投诉率过高、商品质量出现问题等情况时，贵阳农商银行要求合作商立即整改，且可根据合同约定进行相应的处罚，如整改后仍不合规，达不到考核评价要求的，</w:t>
      </w:r>
      <w:r>
        <w:rPr>
          <w:rFonts w:hint="eastAsia" w:ascii="仿宋_GB2312" w:hAnsi="仿宋_GB2312" w:eastAsia="仿宋_GB2312" w:cs="仿宋_GB2312"/>
          <w:bCs/>
          <w:color w:val="auto"/>
          <w:sz w:val="32"/>
          <w:szCs w:val="32"/>
          <w:lang w:val="en-US" w:eastAsia="zh-CN"/>
        </w:rPr>
        <w:t>报相关会议审议后对合作商进行清退。</w:t>
      </w:r>
    </w:p>
    <w:p w14:paraId="2E9BB7AF">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3.合作商须服从贵阳农商银行制定的《“超值购·生活馆”优选生鲜板块引入运营合作商考核评价制度》（合同中另行约定）要求，包含但不限于基础运营管理能力（活动运营、系统升级建设、商品管理）、风险控制能力（价格控制、质量水平、服务能力、售后响应）及重大事件，对于未履行职责或履行不到位的将进行相应警告、处罚直至取消运营服务资格。</w:t>
      </w:r>
    </w:p>
    <w:p w14:paraId="0EDD9DEF">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Cs/>
          <w:color w:val="auto"/>
          <w:kern w:val="2"/>
          <w:sz w:val="32"/>
          <w:szCs w:val="32"/>
          <w:lang w:val="en-US" w:eastAsia="zh-CN" w:bidi="ar-SA"/>
        </w:rPr>
        <w:t>4.</w:t>
      </w:r>
      <w:r>
        <w:rPr>
          <w:rFonts w:hint="eastAsia" w:ascii="仿宋_GB2312" w:hAnsi="仿宋_GB2312" w:eastAsia="仿宋_GB2312" w:cs="仿宋_GB2312"/>
          <w:color w:val="auto"/>
          <w:sz w:val="32"/>
          <w:szCs w:val="32"/>
          <w:highlight w:val="none"/>
          <w:lang w:val="en-US" w:eastAsia="zh-CN"/>
        </w:rPr>
        <w:t>由贵阳农商银行按年度对合作商进行考评，如月度内连续三次出现</w:t>
      </w:r>
      <w:r>
        <w:rPr>
          <w:rFonts w:hint="eastAsia" w:ascii="仿宋_GB2312" w:eastAsia="仿宋_GB2312"/>
          <w:color w:val="auto"/>
          <w:sz w:val="32"/>
          <w:szCs w:val="32"/>
          <w:highlight w:val="none"/>
        </w:rPr>
        <w:t>客户投诉</w:t>
      </w:r>
      <w:r>
        <w:rPr>
          <w:rFonts w:hint="eastAsia" w:ascii="仿宋_GB2312" w:eastAsia="仿宋_GB2312"/>
          <w:color w:val="auto"/>
          <w:sz w:val="32"/>
          <w:szCs w:val="32"/>
          <w:highlight w:val="none"/>
          <w:lang w:val="en-US" w:eastAsia="zh-CN"/>
        </w:rPr>
        <w:t>行为</w:t>
      </w:r>
      <w:r>
        <w:rPr>
          <w:rFonts w:hint="eastAsia" w:ascii="仿宋_GB2312" w:eastAsia="仿宋_GB2312"/>
          <w:color w:val="auto"/>
          <w:sz w:val="32"/>
          <w:szCs w:val="32"/>
          <w:highlight w:val="none"/>
          <w:lang w:eastAsia="zh-CN"/>
        </w:rPr>
        <w:t>，</w:t>
      </w:r>
      <w:r>
        <w:rPr>
          <w:rFonts w:hint="eastAsia" w:ascii="仿宋_GB2312" w:hAnsi="仿宋_GB2312" w:eastAsia="仿宋_GB2312" w:cs="仿宋_GB2312"/>
          <w:bCs/>
          <w:color w:val="auto"/>
          <w:sz w:val="32"/>
          <w:szCs w:val="32"/>
          <w:lang w:val="en-US" w:eastAsia="zh-CN"/>
        </w:rPr>
        <w:t>贵阳农商银行</w:t>
      </w:r>
      <w:r>
        <w:rPr>
          <w:rFonts w:hint="eastAsia" w:ascii="仿宋_GB2312" w:hAnsi="仿宋_GB2312" w:eastAsia="仿宋_GB2312" w:cs="仿宋_GB2312"/>
          <w:color w:val="auto"/>
          <w:sz w:val="32"/>
          <w:szCs w:val="32"/>
          <w:highlight w:val="none"/>
        </w:rPr>
        <w:t>将</w:t>
      </w:r>
      <w:r>
        <w:rPr>
          <w:rFonts w:hint="eastAsia" w:ascii="仿宋_GB2312" w:hAnsi="仿宋_GB2312" w:eastAsia="仿宋_GB2312" w:cs="仿宋_GB2312"/>
          <w:color w:val="auto"/>
          <w:sz w:val="32"/>
          <w:szCs w:val="32"/>
          <w:highlight w:val="none"/>
          <w:lang w:eastAsia="zh-CN"/>
        </w:rPr>
        <w:t>合作商</w:t>
      </w:r>
      <w:r>
        <w:rPr>
          <w:rFonts w:hint="eastAsia" w:ascii="仿宋_GB2312" w:hAnsi="仿宋_GB2312" w:eastAsia="仿宋_GB2312" w:cs="仿宋_GB2312"/>
          <w:color w:val="auto"/>
          <w:sz w:val="32"/>
          <w:szCs w:val="32"/>
          <w:highlight w:val="none"/>
        </w:rPr>
        <w:t>先在系统中关闭后，发出</w:t>
      </w:r>
      <w:r>
        <w:rPr>
          <w:rFonts w:hint="eastAsia" w:ascii="仿宋_GB2312" w:hAnsi="仿宋_GB2312" w:eastAsia="仿宋_GB2312" w:cs="仿宋_GB2312"/>
          <w:color w:val="auto"/>
          <w:sz w:val="32"/>
          <w:szCs w:val="32"/>
          <w:highlight w:val="none"/>
          <w:lang w:val="en-US" w:eastAsia="zh-CN"/>
        </w:rPr>
        <w:t>警告</w:t>
      </w:r>
      <w:r>
        <w:rPr>
          <w:rFonts w:hint="eastAsia" w:ascii="仿宋_GB2312" w:hAnsi="仿宋_GB2312" w:eastAsia="仿宋_GB2312" w:cs="仿宋_GB2312"/>
          <w:color w:val="auto"/>
          <w:sz w:val="32"/>
          <w:szCs w:val="32"/>
          <w:highlight w:val="none"/>
        </w:rPr>
        <w:t>通知书及电话通知</w:t>
      </w:r>
      <w:r>
        <w:rPr>
          <w:rFonts w:hint="eastAsia" w:ascii="仿宋_GB2312" w:hAnsi="仿宋_GB2312" w:eastAsia="仿宋_GB2312" w:cs="仿宋_GB2312"/>
          <w:color w:val="auto"/>
          <w:sz w:val="32"/>
          <w:szCs w:val="32"/>
          <w:highlight w:val="none"/>
          <w:lang w:eastAsia="zh-CN"/>
        </w:rPr>
        <w:t>合作商</w:t>
      </w:r>
      <w:r>
        <w:rPr>
          <w:rFonts w:hint="eastAsia" w:ascii="仿宋_GB2312" w:hAnsi="仿宋_GB2312" w:eastAsia="仿宋_GB2312" w:cs="仿宋_GB2312"/>
          <w:color w:val="auto"/>
          <w:sz w:val="32"/>
          <w:szCs w:val="32"/>
          <w:highlight w:val="none"/>
        </w:rPr>
        <w:t>负责人</w:t>
      </w:r>
      <w:r>
        <w:rPr>
          <w:rFonts w:hint="eastAsia" w:ascii="仿宋_GB2312" w:hAnsi="仿宋_GB2312" w:eastAsia="仿宋_GB2312" w:cs="仿宋_GB2312"/>
          <w:color w:val="auto"/>
          <w:sz w:val="32"/>
          <w:szCs w:val="32"/>
          <w:highlight w:val="none"/>
          <w:lang w:val="en-US" w:eastAsia="zh-CN"/>
        </w:rPr>
        <w:t>进行整改</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若年累计十次出现</w:t>
      </w:r>
      <w:r>
        <w:rPr>
          <w:rFonts w:hint="eastAsia" w:ascii="仿宋_GB2312" w:eastAsia="仿宋_GB2312"/>
          <w:color w:val="auto"/>
          <w:sz w:val="32"/>
          <w:szCs w:val="32"/>
          <w:highlight w:val="none"/>
        </w:rPr>
        <w:t>客户投诉</w:t>
      </w:r>
      <w:r>
        <w:rPr>
          <w:rFonts w:hint="eastAsia" w:ascii="仿宋_GB2312" w:eastAsia="仿宋_GB2312"/>
          <w:color w:val="auto"/>
          <w:sz w:val="32"/>
          <w:szCs w:val="32"/>
          <w:highlight w:val="none"/>
          <w:lang w:val="en-US" w:eastAsia="zh-CN"/>
        </w:rPr>
        <w:t>行为，</w:t>
      </w:r>
      <w:r>
        <w:rPr>
          <w:rFonts w:hint="eastAsia" w:ascii="仿宋_GB2312" w:hAnsi="仿宋_GB2312" w:eastAsia="仿宋_GB2312" w:cs="仿宋_GB2312"/>
          <w:bCs/>
          <w:color w:val="auto"/>
          <w:sz w:val="32"/>
          <w:szCs w:val="32"/>
          <w:lang w:val="en-US" w:eastAsia="zh-CN"/>
        </w:rPr>
        <w:t>贵阳农商银行</w:t>
      </w:r>
      <w:r>
        <w:rPr>
          <w:rFonts w:hint="eastAsia" w:ascii="仿宋_GB2312" w:eastAsia="仿宋_GB2312"/>
          <w:color w:val="auto"/>
          <w:sz w:val="32"/>
          <w:szCs w:val="32"/>
          <w:highlight w:val="none"/>
        </w:rPr>
        <w:t>根据情节严重性采取延期结算、下架商品、追索损失等措施</w:t>
      </w:r>
      <w:r>
        <w:rPr>
          <w:rFonts w:hint="eastAsia" w:ascii="仿宋_GB2312" w:eastAsia="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正在进行中的交易全部冻结办理退款处理。</w:t>
      </w:r>
    </w:p>
    <w:p w14:paraId="682F8CBD">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5.贵阳农商银行按年度对合作商上架商品进行考核评价，若商品受众群体较小，且定价明显高于市场价格，报相关会议审议，次年度不再与合作商续签订合作协议，并作清退处理。</w:t>
      </w:r>
    </w:p>
    <w:p w14:paraId="475D6B1B">
      <w:pPr>
        <w:keepNext w:val="0"/>
        <w:keepLines w:val="0"/>
        <w:pageBreakBefore w:val="0"/>
        <w:widowControl w:val="0"/>
        <w:kinsoku/>
        <w:wordWrap/>
        <w:overflowPunct/>
        <w:topLinePunct w:val="0"/>
        <w:autoSpaceDE/>
        <w:autoSpaceDN/>
        <w:bidi w:val="0"/>
        <w:adjustRightInd/>
        <w:snapToGrid/>
        <w:spacing w:line="480" w:lineRule="exact"/>
        <w:ind w:firstLine="643" w:firstLineChars="200"/>
        <w:jc w:val="both"/>
        <w:textAlignment w:val="auto"/>
        <w:rPr>
          <w:rFonts w:hint="eastAsia" w:ascii="楷体_GB2312" w:hAnsi="楷体_GB2312" w:eastAsia="楷体_GB2312" w:cs="楷体_GB2312"/>
          <w:b/>
          <w:bCs/>
          <w:i w:val="0"/>
          <w:iCs w:val="0"/>
          <w:color w:val="auto"/>
          <w:sz w:val="32"/>
          <w:szCs w:val="32"/>
          <w:highlight w:val="none"/>
          <w:lang w:val="en-US" w:eastAsia="zh-CN"/>
        </w:rPr>
      </w:pPr>
      <w:r>
        <w:rPr>
          <w:rFonts w:hint="eastAsia" w:ascii="楷体_GB2312" w:hAnsi="楷体_GB2312" w:eastAsia="楷体_GB2312" w:cs="楷体_GB2312"/>
          <w:b/>
          <w:bCs/>
          <w:i w:val="0"/>
          <w:iCs w:val="0"/>
          <w:color w:val="auto"/>
          <w:sz w:val="32"/>
          <w:szCs w:val="32"/>
          <w:highlight w:val="none"/>
          <w:lang w:val="en-US" w:eastAsia="zh-CN"/>
        </w:rPr>
        <w:t>（四）出现下列情形之一时，贵阳农商银行可单方面提前终止本合同：</w:t>
      </w:r>
    </w:p>
    <w:p w14:paraId="551FE392">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i w:val="0"/>
          <w:iCs w:val="0"/>
          <w:color w:val="auto"/>
          <w:sz w:val="32"/>
          <w:szCs w:val="32"/>
          <w:highlight w:val="none"/>
          <w:lang w:val="en-US" w:eastAsia="zh-CN"/>
        </w:rPr>
      </w:pPr>
      <w:r>
        <w:rPr>
          <w:rFonts w:hint="eastAsia" w:ascii="仿宋_GB2312" w:hAnsi="仿宋_GB2312" w:eastAsia="仿宋_GB2312" w:cs="仿宋_GB2312"/>
          <w:i w:val="0"/>
          <w:iCs w:val="0"/>
          <w:color w:val="auto"/>
          <w:sz w:val="32"/>
          <w:szCs w:val="32"/>
          <w:highlight w:val="none"/>
          <w:lang w:val="en-US" w:eastAsia="zh-CN"/>
        </w:rPr>
        <w:t>1.因不可抗力原因导致本项目无法继续运作；</w:t>
      </w:r>
    </w:p>
    <w:p w14:paraId="57A14C51">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i w:val="0"/>
          <w:iCs w:val="0"/>
          <w:color w:val="auto"/>
          <w:sz w:val="32"/>
          <w:szCs w:val="32"/>
          <w:highlight w:val="none"/>
          <w:lang w:val="en-US" w:eastAsia="zh-CN"/>
        </w:rPr>
      </w:pPr>
      <w:r>
        <w:rPr>
          <w:rFonts w:hint="eastAsia" w:ascii="仿宋_GB2312" w:hAnsi="仿宋_GB2312" w:eastAsia="仿宋_GB2312" w:cs="仿宋_GB2312"/>
          <w:i w:val="0"/>
          <w:iCs w:val="0"/>
          <w:color w:val="auto"/>
          <w:sz w:val="32"/>
          <w:szCs w:val="32"/>
          <w:highlight w:val="none"/>
          <w:lang w:val="en-US" w:eastAsia="zh-CN"/>
        </w:rPr>
        <w:t>2.因法律法规变化或国家金融政策调整、紧急措施出台影响本项目继续正常运作；</w:t>
      </w:r>
    </w:p>
    <w:p w14:paraId="4AB13DA7">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i w:val="0"/>
          <w:iCs w:val="0"/>
          <w:color w:val="auto"/>
          <w:sz w:val="32"/>
          <w:szCs w:val="32"/>
          <w:highlight w:val="none"/>
          <w:lang w:val="en-US" w:eastAsia="zh-CN"/>
        </w:rPr>
      </w:pPr>
      <w:r>
        <w:rPr>
          <w:rFonts w:hint="eastAsia" w:ascii="仿宋_GB2312" w:hAnsi="仿宋_GB2312" w:eastAsia="仿宋_GB2312" w:cs="仿宋_GB2312"/>
          <w:i w:val="0"/>
          <w:iCs w:val="0"/>
          <w:color w:val="auto"/>
          <w:sz w:val="32"/>
          <w:szCs w:val="32"/>
          <w:highlight w:val="none"/>
          <w:lang w:val="en-US" w:eastAsia="zh-CN"/>
        </w:rPr>
        <w:t>3.法律法规规定或监管部门认定的其他情形。</w:t>
      </w:r>
    </w:p>
    <w:p w14:paraId="0DE370EE"/>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E203BB">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02684A">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802684A">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EFC87C"/>
    <w:multiLevelType w:val="singleLevel"/>
    <w:tmpl w:val="3FEFC87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1MTg4MDBhZjVkYjU5MjIwODllNTRjY2YyMzY5OTQifQ=="/>
  </w:docVars>
  <w:rsids>
    <w:rsidRoot w:val="078D4EB4"/>
    <w:rsid w:val="078D4EB4"/>
    <w:rsid w:val="4EC31B80"/>
    <w:rsid w:val="50C41C18"/>
    <w:rsid w:val="7D9C0B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99"/>
    <w:pPr>
      <w:spacing w:after="120"/>
    </w:pPr>
    <w:rPr>
      <w:rFonts w:ascii="Calibri" w:hAnsi="Calibri" w:cstheme="minorBidi"/>
      <w:kern w:val="2"/>
      <w:sz w:val="21"/>
      <w:szCs w:val="22"/>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Body Text First Indent 21"/>
    <w:basedOn w:val="8"/>
    <w:unhideWhenUsed/>
    <w:qFormat/>
    <w:uiPriority w:val="99"/>
    <w:pPr>
      <w:ind w:left="0" w:firstLine="420"/>
    </w:pPr>
    <w:rPr>
      <w:rFonts w:ascii="仿宋_GB2312" w:eastAsia="仿宋_GB2312"/>
      <w:sz w:val="32"/>
    </w:rPr>
  </w:style>
  <w:style w:type="paragraph" w:customStyle="1" w:styleId="8">
    <w:name w:val="Body Text Indent1"/>
    <w:basedOn w:val="1"/>
    <w:unhideWhenUsed/>
    <w:qFormat/>
    <w:uiPriority w:val="99"/>
    <w:pPr>
      <w:ind w:left="420" w:leftChars="200"/>
    </w:pPr>
    <w:rPr>
      <w:rFonts w:hint="eastAsi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6357</Words>
  <Characters>6488</Characters>
  <Lines>0</Lines>
  <Paragraphs>0</Paragraphs>
  <TotalTime>29</TotalTime>
  <ScaleCrop>false</ScaleCrop>
  <LinksUpToDate>false</LinksUpToDate>
  <CharactersWithSpaces>6493</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2024-07-26T07:24:00Z</dcterms:created>
  <dc:creator>cj</dc:creator>
  <cp:lastModifiedBy>sunshine701</cp:lastModifiedBy>
  <dcterms:modified xsi:type="dcterms:W3CDTF">2024-07-29T07:48:01Z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26BF24D3277C412D9908879AC48F6AB5_11</vt:lpwstr>
  </property>
</Properties>
</file>