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CE23C">
      <w:pPr>
        <w:spacing w:beforeLines="100" w:afterLines="50"/>
        <w:rPr>
          <w:rFonts w:ascii="宋体" w:hAnsi="宋体" w:cs="宋体"/>
        </w:rPr>
      </w:pPr>
      <w:r>
        <w:rPr>
          <w:rFonts w:hint="eastAsia" w:ascii="宋体" w:hAnsi="宋体" w:cs="宋体"/>
        </w:rPr>
        <w:t>评分表</w:t>
      </w:r>
      <w:bookmarkStart w:id="0" w:name="_GoBack"/>
      <w:bookmarkEnd w:id="0"/>
    </w:p>
    <w:p w14:paraId="1EA4B109">
      <w:pPr>
        <w:jc w:val="center"/>
        <w:rPr>
          <w:rFonts w:hint="eastAsia" w:ascii="宋体" w:hAnsi="宋体" w:eastAsia="宋体" w:cs="宋体"/>
          <w:b/>
          <w:snapToGrid w:val="0"/>
          <w:spacing w:val="8"/>
          <w:sz w:val="28"/>
          <w:szCs w:val="28"/>
          <w:lang w:eastAsia="zh-CN"/>
        </w:rPr>
      </w:pPr>
      <w:r>
        <w:rPr>
          <w:rFonts w:hint="eastAsia" w:ascii="宋体" w:hAnsi="宋体" w:cs="宋体"/>
          <w:b/>
          <w:snapToGrid w:val="0"/>
          <w:spacing w:val="8"/>
          <w:sz w:val="28"/>
          <w:szCs w:val="28"/>
        </w:rPr>
        <w:t>评分标准</w:t>
      </w:r>
    </w:p>
    <w:p w14:paraId="05BE616E">
      <w:pPr>
        <w:ind w:firstLine="560" w:firstLineChars="200"/>
        <w:jc w:val="center"/>
        <w:rPr>
          <w:rFonts w:ascii="宋体" w:hAnsi="宋体" w:cs="宋体"/>
          <w:sz w:val="28"/>
          <w:szCs w:val="28"/>
        </w:rPr>
      </w:pPr>
    </w:p>
    <w:tbl>
      <w:tblPr>
        <w:tblStyle w:val="10"/>
        <w:tblW w:w="9626" w:type="dxa"/>
        <w:jc w:val="center"/>
        <w:tblLayout w:type="fixed"/>
        <w:tblCellMar>
          <w:top w:w="0" w:type="dxa"/>
          <w:left w:w="108" w:type="dxa"/>
          <w:bottom w:w="0" w:type="dxa"/>
          <w:right w:w="108" w:type="dxa"/>
        </w:tblCellMar>
      </w:tblPr>
      <w:tblGrid>
        <w:gridCol w:w="1217"/>
        <w:gridCol w:w="6534"/>
        <w:gridCol w:w="837"/>
        <w:gridCol w:w="1038"/>
      </w:tblGrid>
      <w:tr w14:paraId="4234FFB7">
        <w:tblPrEx>
          <w:tblCellMar>
            <w:top w:w="0" w:type="dxa"/>
            <w:left w:w="108" w:type="dxa"/>
            <w:bottom w:w="0" w:type="dxa"/>
            <w:right w:w="108" w:type="dxa"/>
          </w:tblCellMar>
        </w:tblPrEx>
        <w:trPr>
          <w:trHeight w:val="70" w:hRule="atLeast"/>
          <w:jc w:val="center"/>
        </w:trPr>
        <w:tc>
          <w:tcPr>
            <w:tcW w:w="8588" w:type="dxa"/>
            <w:gridSpan w:val="3"/>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14:paraId="79A862BC">
            <w:pPr>
              <w:rPr>
                <w:rFonts w:hint="eastAsia" w:ascii="宋体" w:hAnsi="宋体" w:cs="宋体"/>
                <w:sz w:val="21"/>
                <w:szCs w:val="21"/>
              </w:rPr>
            </w:pPr>
            <w:r>
              <w:rPr>
                <w:rFonts w:hint="eastAsia" w:ascii="宋体" w:hAnsi="宋体" w:cs="宋体"/>
                <w:sz w:val="21"/>
                <w:szCs w:val="21"/>
              </w:rPr>
              <w:t xml:space="preserve">                                             </w:t>
            </w:r>
            <w:r>
              <w:rPr>
                <w:rFonts w:hint="eastAsia" w:ascii="宋体" w:hAnsi="宋体" w:cs="宋体"/>
                <w:sz w:val="21"/>
                <w:szCs w:val="21"/>
                <w:lang w:val="en-US" w:eastAsia="zh-CN"/>
              </w:rPr>
              <w:t>合作商</w:t>
            </w:r>
            <w:r>
              <w:rPr>
                <w:rFonts w:hint="eastAsia" w:ascii="宋体" w:hAnsi="宋体" w:cs="宋体"/>
                <w:sz w:val="21"/>
                <w:szCs w:val="21"/>
              </w:rPr>
              <w:t>名称</w:t>
            </w:r>
          </w:p>
          <w:p w14:paraId="2F8D1361">
            <w:pPr>
              <w:rPr>
                <w:rFonts w:hint="eastAsia" w:ascii="宋体" w:hAnsi="宋体" w:cs="宋体"/>
                <w:sz w:val="21"/>
                <w:szCs w:val="21"/>
              </w:rPr>
            </w:pPr>
            <w:r>
              <w:rPr>
                <w:rFonts w:hint="eastAsia" w:ascii="宋体" w:hAnsi="宋体" w:cs="宋体"/>
                <w:sz w:val="21"/>
                <w:szCs w:val="21"/>
              </w:rPr>
              <w:t>评分项及分值</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4D74A934">
            <w:pPr>
              <w:jc w:val="center"/>
              <w:rPr>
                <w:rFonts w:hint="eastAsia" w:ascii="宋体" w:hAnsi="宋体" w:cs="宋体"/>
                <w:sz w:val="21"/>
                <w:szCs w:val="21"/>
              </w:rPr>
            </w:pPr>
            <w:r>
              <w:rPr>
                <w:rFonts w:hint="eastAsia" w:ascii="宋体" w:hAnsi="宋体" w:cs="宋体"/>
                <w:sz w:val="21"/>
                <w:szCs w:val="21"/>
                <w:lang w:val="en-US" w:eastAsia="zh-CN"/>
              </w:rPr>
              <w:t>合作商</w:t>
            </w:r>
          </w:p>
        </w:tc>
      </w:tr>
      <w:tr w14:paraId="79391C0D">
        <w:tblPrEx>
          <w:tblCellMar>
            <w:top w:w="0" w:type="dxa"/>
            <w:left w:w="108" w:type="dxa"/>
            <w:bottom w:w="0" w:type="dxa"/>
            <w:right w:w="108" w:type="dxa"/>
          </w:tblCellMar>
        </w:tblPrEx>
        <w:trPr>
          <w:trHeight w:val="184" w:hRule="atLeast"/>
          <w:jc w:val="center"/>
        </w:trPr>
        <w:tc>
          <w:tcPr>
            <w:tcW w:w="7751" w:type="dxa"/>
            <w:gridSpan w:val="2"/>
            <w:tcBorders>
              <w:top w:val="single" w:color="auto" w:sz="4" w:space="0"/>
              <w:left w:val="single" w:color="auto" w:sz="4" w:space="0"/>
              <w:bottom w:val="single" w:color="auto" w:sz="4" w:space="0"/>
              <w:right w:val="single" w:color="000000" w:sz="4" w:space="0"/>
            </w:tcBorders>
            <w:shd w:val="clear" w:color="000000" w:fill="FFFFFF"/>
            <w:vAlign w:val="center"/>
          </w:tcPr>
          <w:p w14:paraId="680E1A8A">
            <w:pPr>
              <w:jc w:val="center"/>
              <w:rPr>
                <w:rFonts w:hint="eastAsia" w:ascii="宋体" w:hAnsi="宋体" w:cs="宋体"/>
                <w:sz w:val="21"/>
                <w:szCs w:val="21"/>
              </w:rPr>
            </w:pPr>
            <w:r>
              <w:rPr>
                <w:rFonts w:hint="eastAsia" w:ascii="宋体" w:hAnsi="宋体" w:cs="宋体"/>
                <w:sz w:val="21"/>
                <w:szCs w:val="21"/>
              </w:rPr>
              <w:t>评分项</w:t>
            </w:r>
          </w:p>
        </w:tc>
        <w:tc>
          <w:tcPr>
            <w:tcW w:w="837" w:type="dxa"/>
            <w:tcBorders>
              <w:top w:val="nil"/>
              <w:left w:val="nil"/>
              <w:bottom w:val="single" w:color="auto" w:sz="4" w:space="0"/>
              <w:right w:val="single" w:color="auto" w:sz="4" w:space="0"/>
            </w:tcBorders>
            <w:shd w:val="clear" w:color="000000" w:fill="FFFFFF"/>
            <w:vAlign w:val="center"/>
          </w:tcPr>
          <w:p w14:paraId="25A3D21C">
            <w:pPr>
              <w:rPr>
                <w:rFonts w:hint="eastAsia" w:ascii="宋体" w:hAnsi="宋体" w:cs="宋体"/>
                <w:sz w:val="21"/>
                <w:szCs w:val="21"/>
              </w:rPr>
            </w:pPr>
            <w:r>
              <w:rPr>
                <w:rFonts w:hint="eastAsia" w:ascii="宋体" w:hAnsi="宋体" w:cs="宋体"/>
                <w:sz w:val="21"/>
                <w:szCs w:val="21"/>
              </w:rPr>
              <w:t>分值标准</w:t>
            </w:r>
          </w:p>
        </w:tc>
        <w:tc>
          <w:tcPr>
            <w:tcW w:w="1038" w:type="dxa"/>
            <w:tcBorders>
              <w:top w:val="nil"/>
              <w:left w:val="nil"/>
              <w:bottom w:val="single" w:color="auto" w:sz="4" w:space="0"/>
              <w:right w:val="single" w:color="auto" w:sz="4" w:space="0"/>
            </w:tcBorders>
            <w:shd w:val="clear" w:color="000000" w:fill="FFFFFF"/>
            <w:vAlign w:val="center"/>
          </w:tcPr>
          <w:p w14:paraId="2C7809D5">
            <w:pPr>
              <w:rPr>
                <w:rFonts w:hint="eastAsia" w:ascii="宋体" w:hAnsi="宋体" w:cs="宋体"/>
                <w:sz w:val="21"/>
                <w:szCs w:val="21"/>
              </w:rPr>
            </w:pPr>
          </w:p>
        </w:tc>
      </w:tr>
      <w:tr w14:paraId="640982D2">
        <w:tblPrEx>
          <w:tblCellMar>
            <w:top w:w="0" w:type="dxa"/>
            <w:left w:w="108" w:type="dxa"/>
            <w:bottom w:w="0" w:type="dxa"/>
            <w:right w:w="108" w:type="dxa"/>
          </w:tblCellMar>
        </w:tblPrEx>
        <w:trPr>
          <w:trHeight w:val="1034" w:hRule="atLeast"/>
          <w:jc w:val="center"/>
        </w:trPr>
        <w:tc>
          <w:tcPr>
            <w:tcW w:w="1217" w:type="dxa"/>
            <w:tcBorders>
              <w:top w:val="nil"/>
              <w:left w:val="single" w:color="auto" w:sz="4" w:space="0"/>
              <w:right w:val="single" w:color="auto" w:sz="4" w:space="0"/>
            </w:tcBorders>
            <w:shd w:val="clear" w:color="000000" w:fill="FFFFFF"/>
            <w:vAlign w:val="center"/>
          </w:tcPr>
          <w:p w14:paraId="67CD420F">
            <w:pPr>
              <w:jc w:val="center"/>
              <w:rPr>
                <w:rFonts w:hint="eastAsia" w:ascii="宋体" w:hAnsi="宋体" w:cs="宋体"/>
                <w:sz w:val="21"/>
                <w:szCs w:val="21"/>
              </w:rPr>
            </w:pPr>
            <w:r>
              <w:rPr>
                <w:rFonts w:hint="eastAsia" w:ascii="宋体" w:hAnsi="宋体" w:cs="宋体"/>
                <w:iCs/>
                <w:sz w:val="21"/>
                <w:szCs w:val="21"/>
              </w:rPr>
              <w:t>运营</w:t>
            </w:r>
            <w:r>
              <w:rPr>
                <w:rFonts w:hint="eastAsia" w:ascii="宋体" w:hAnsi="宋体" w:cs="宋体"/>
                <w:sz w:val="21"/>
                <w:szCs w:val="21"/>
              </w:rPr>
              <w:t>方案（</w:t>
            </w:r>
            <w:r>
              <w:rPr>
                <w:rFonts w:hint="eastAsia" w:ascii="宋体" w:hAnsi="宋体" w:cs="宋体"/>
                <w:sz w:val="21"/>
                <w:szCs w:val="21"/>
                <w:lang w:val="en-US" w:eastAsia="zh-CN"/>
              </w:rPr>
              <w:t>10</w:t>
            </w:r>
            <w:r>
              <w:rPr>
                <w:rFonts w:hint="eastAsia" w:ascii="宋体" w:hAnsi="宋体" w:cs="宋体"/>
                <w:sz w:val="21"/>
                <w:szCs w:val="21"/>
              </w:rPr>
              <w:t>分）</w:t>
            </w:r>
          </w:p>
        </w:tc>
        <w:tc>
          <w:tcPr>
            <w:tcW w:w="6534" w:type="dxa"/>
            <w:tcBorders>
              <w:top w:val="nil"/>
              <w:left w:val="nil"/>
              <w:bottom w:val="single" w:color="auto" w:sz="4" w:space="0"/>
              <w:right w:val="single" w:color="auto" w:sz="4" w:space="0"/>
            </w:tcBorders>
            <w:shd w:val="clear" w:color="000000" w:fill="FFFFFF"/>
            <w:vAlign w:val="center"/>
          </w:tcPr>
          <w:p w14:paraId="3F4E7FDE">
            <w:pPr>
              <w:rPr>
                <w:rFonts w:hint="eastAsia" w:ascii="宋体" w:hAnsi="宋体" w:cs="宋体"/>
                <w:iCs/>
                <w:sz w:val="21"/>
                <w:szCs w:val="21"/>
              </w:rPr>
            </w:pPr>
            <w:r>
              <w:rPr>
                <w:rFonts w:hint="eastAsia" w:ascii="宋体" w:hAnsi="宋体" w:cs="宋体"/>
                <w:iCs/>
                <w:sz w:val="21"/>
                <w:szCs w:val="21"/>
              </w:rPr>
              <w:t>提供项目的详细运营方案，对方案的全面、详细、针对性强、符合本项目情况（包括但不限于以下内容:客户运营策略，核心是通过合理压缩自身利润空间，为</w:t>
            </w:r>
            <w:r>
              <w:rPr>
                <w:rFonts w:hint="eastAsia" w:ascii="宋体" w:hAnsi="宋体" w:cs="宋体"/>
                <w:iCs/>
                <w:sz w:val="21"/>
                <w:szCs w:val="21"/>
                <w:lang w:val="en-US" w:eastAsia="zh-CN"/>
              </w:rPr>
              <w:t>贵阳农村商业银行股份有限公司</w:t>
            </w:r>
            <w:r>
              <w:rPr>
                <w:rFonts w:hint="eastAsia" w:ascii="宋体" w:hAnsi="宋体" w:cs="宋体"/>
                <w:iCs/>
                <w:sz w:val="21"/>
                <w:szCs w:val="21"/>
              </w:rPr>
              <w:t>的广大客户提供一系列具备增值特性的权益及价格实惠、品质卓越的商品服务）等横向比较，综合评分。优秀</w:t>
            </w:r>
            <w:r>
              <w:rPr>
                <w:rFonts w:hint="eastAsia" w:ascii="宋体" w:hAnsi="宋体" w:cs="宋体"/>
                <w:iCs/>
                <w:sz w:val="21"/>
                <w:szCs w:val="21"/>
                <w:lang w:val="en-US" w:eastAsia="zh-CN"/>
              </w:rPr>
              <w:t>10-7</w:t>
            </w:r>
            <w:r>
              <w:rPr>
                <w:rFonts w:hint="eastAsia" w:ascii="宋体" w:hAnsi="宋体" w:cs="宋体"/>
                <w:iCs/>
                <w:sz w:val="21"/>
                <w:szCs w:val="21"/>
              </w:rPr>
              <w:t>分，良好</w:t>
            </w:r>
            <w:r>
              <w:rPr>
                <w:rFonts w:hint="eastAsia" w:ascii="宋体" w:hAnsi="宋体" w:cs="宋体"/>
                <w:iCs/>
                <w:sz w:val="21"/>
                <w:szCs w:val="21"/>
                <w:lang w:val="en-US" w:eastAsia="zh-CN"/>
              </w:rPr>
              <w:t>6-4</w:t>
            </w:r>
            <w:r>
              <w:rPr>
                <w:rFonts w:hint="eastAsia" w:ascii="宋体" w:hAnsi="宋体" w:cs="宋体"/>
                <w:iCs/>
                <w:sz w:val="21"/>
                <w:szCs w:val="21"/>
              </w:rPr>
              <w:t>分，中等</w:t>
            </w:r>
            <w:r>
              <w:rPr>
                <w:rFonts w:hint="eastAsia" w:ascii="宋体" w:hAnsi="宋体" w:cs="宋体"/>
                <w:iCs/>
                <w:sz w:val="21"/>
                <w:szCs w:val="21"/>
                <w:lang w:val="en-US" w:eastAsia="zh-CN"/>
              </w:rPr>
              <w:t>3-2</w:t>
            </w:r>
            <w:r>
              <w:rPr>
                <w:rFonts w:hint="eastAsia" w:ascii="宋体" w:hAnsi="宋体" w:cs="宋体"/>
                <w:iCs/>
                <w:sz w:val="21"/>
                <w:szCs w:val="21"/>
              </w:rPr>
              <w:t>分，较差1分，不提供0分。</w:t>
            </w:r>
          </w:p>
        </w:tc>
        <w:tc>
          <w:tcPr>
            <w:tcW w:w="837" w:type="dxa"/>
            <w:tcBorders>
              <w:top w:val="nil"/>
              <w:left w:val="nil"/>
              <w:bottom w:val="single" w:color="auto" w:sz="4" w:space="0"/>
              <w:right w:val="single" w:color="auto" w:sz="4" w:space="0"/>
            </w:tcBorders>
            <w:shd w:val="clear" w:color="000000" w:fill="FFFFFF"/>
            <w:vAlign w:val="center"/>
          </w:tcPr>
          <w:p w14:paraId="68B60E65">
            <w:pPr>
              <w:jc w:val="center"/>
              <w:rPr>
                <w:rFonts w:hint="eastAsia" w:ascii="宋体" w:hAnsi="宋体" w:cs="宋体"/>
                <w:sz w:val="21"/>
                <w:szCs w:val="21"/>
                <w:lang w:val="en-US"/>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nil"/>
              <w:left w:val="nil"/>
              <w:bottom w:val="single" w:color="auto" w:sz="4" w:space="0"/>
              <w:right w:val="single" w:color="auto" w:sz="4" w:space="0"/>
            </w:tcBorders>
            <w:shd w:val="clear" w:color="000000" w:fill="FFFFFF"/>
            <w:vAlign w:val="center"/>
          </w:tcPr>
          <w:p w14:paraId="0E799178">
            <w:pPr>
              <w:jc w:val="center"/>
              <w:rPr>
                <w:rFonts w:hint="eastAsia" w:ascii="宋体" w:hAnsi="宋体" w:cs="宋体"/>
                <w:sz w:val="21"/>
                <w:szCs w:val="21"/>
              </w:rPr>
            </w:pPr>
          </w:p>
        </w:tc>
      </w:tr>
      <w:tr w14:paraId="50C13940">
        <w:tblPrEx>
          <w:tblCellMar>
            <w:top w:w="0" w:type="dxa"/>
            <w:left w:w="108" w:type="dxa"/>
            <w:bottom w:w="0" w:type="dxa"/>
            <w:right w:w="108" w:type="dxa"/>
          </w:tblCellMar>
        </w:tblPrEx>
        <w:trPr>
          <w:trHeight w:val="1327" w:hRule="atLeast"/>
          <w:jc w:val="center"/>
        </w:trPr>
        <w:tc>
          <w:tcPr>
            <w:tcW w:w="1217" w:type="dxa"/>
            <w:tcBorders>
              <w:top w:val="single" w:color="auto" w:sz="4" w:space="0"/>
              <w:left w:val="single" w:color="auto" w:sz="4" w:space="0"/>
              <w:bottom w:val="single" w:color="auto" w:sz="4" w:space="0"/>
              <w:right w:val="single" w:color="auto" w:sz="4" w:space="0"/>
            </w:tcBorders>
            <w:shd w:val="clear" w:color="000000" w:fill="FFFFFF"/>
            <w:vAlign w:val="center"/>
          </w:tcPr>
          <w:p w14:paraId="36858190">
            <w:pPr>
              <w:jc w:val="center"/>
              <w:rPr>
                <w:rFonts w:hint="eastAsia" w:ascii="宋体" w:hAnsi="宋体" w:cs="宋体"/>
                <w:sz w:val="21"/>
                <w:szCs w:val="21"/>
                <w:lang w:val="en-US" w:eastAsia="zh-CN"/>
              </w:rPr>
            </w:pPr>
            <w:r>
              <w:rPr>
                <w:rFonts w:hint="eastAsia" w:ascii="宋体" w:hAnsi="宋体" w:cs="宋体"/>
                <w:sz w:val="21"/>
                <w:szCs w:val="21"/>
                <w:lang w:val="en-US" w:eastAsia="zh-CN"/>
              </w:rPr>
              <w:t>系统现场演示</w:t>
            </w:r>
          </w:p>
          <w:p w14:paraId="6F9A7AD0">
            <w:pPr>
              <w:jc w:val="center"/>
              <w:rPr>
                <w:rFonts w:hint="eastAsia" w:ascii="宋体" w:hAnsi="宋体" w:cs="宋体"/>
                <w:sz w:val="21"/>
                <w:szCs w:val="21"/>
              </w:rPr>
            </w:pPr>
            <w:r>
              <w:rPr>
                <w:rFonts w:hint="eastAsia" w:ascii="宋体" w:hAnsi="宋体" w:cs="宋体"/>
                <w:sz w:val="21"/>
                <w:szCs w:val="21"/>
                <w:lang w:val="en-US" w:eastAsia="zh-CN"/>
              </w:rPr>
              <w:t>（10分）</w:t>
            </w:r>
          </w:p>
        </w:tc>
        <w:tc>
          <w:tcPr>
            <w:tcW w:w="6534" w:type="dxa"/>
            <w:tcBorders>
              <w:top w:val="nil"/>
              <w:left w:val="nil"/>
              <w:bottom w:val="single" w:color="auto" w:sz="4" w:space="0"/>
              <w:right w:val="single" w:color="auto" w:sz="4" w:space="0"/>
            </w:tcBorders>
            <w:shd w:val="clear" w:color="000000" w:fill="FFFFFF"/>
            <w:vAlign w:val="center"/>
          </w:tcPr>
          <w:p w14:paraId="58ABE7D1">
            <w:pPr>
              <w:rPr>
                <w:rFonts w:hint="eastAsia" w:ascii="宋体" w:hAnsi="宋体" w:eastAsia="宋体" w:cs="宋体"/>
                <w:lang w:val="en-US" w:eastAsia="zh-CN"/>
              </w:rPr>
            </w:pPr>
            <w:r>
              <w:rPr>
                <w:rFonts w:hint="eastAsia" w:ascii="宋体" w:hAnsi="宋体" w:cs="宋体"/>
                <w:iCs/>
                <w:sz w:val="21"/>
                <w:szCs w:val="21"/>
                <w:lang w:val="en-US" w:eastAsia="zh-CN"/>
              </w:rPr>
              <w:t>现场演示：</w:t>
            </w:r>
            <w:r>
              <w:rPr>
                <w:rFonts w:hint="eastAsia" w:ascii="宋体" w:hAnsi="宋体" w:cs="宋体"/>
                <w:color w:val="000000"/>
                <w:sz w:val="21"/>
                <w:szCs w:val="21"/>
                <w:lang w:val="en-US" w:eastAsia="zh-CN"/>
              </w:rPr>
              <w:t>合作商须演示</w:t>
            </w:r>
            <w:r>
              <w:rPr>
                <w:rFonts w:hint="eastAsia" w:ascii="宋体" w:hAnsi="宋体" w:eastAsia="宋体" w:cs="宋体"/>
                <w:iCs/>
                <w:sz w:val="21"/>
                <w:szCs w:val="21"/>
                <w:lang w:val="en-US" w:eastAsia="zh-CN"/>
              </w:rPr>
              <w:t>商品上下架、订单状态更新、订单信息同步、财务信息同步、营销活动同步</w:t>
            </w:r>
            <w:r>
              <w:rPr>
                <w:rFonts w:hint="eastAsia" w:ascii="宋体" w:hAnsi="宋体" w:cs="宋体"/>
                <w:color w:val="000000"/>
                <w:sz w:val="21"/>
                <w:szCs w:val="21"/>
                <w:lang w:val="en-US" w:eastAsia="zh-CN"/>
              </w:rPr>
              <w:t>模板</w:t>
            </w:r>
            <w:r>
              <w:rPr>
                <w:rFonts w:hint="eastAsia" w:ascii="宋体" w:hAnsi="宋体" w:cs="宋体"/>
                <w:color w:val="000000"/>
                <w:sz w:val="21"/>
                <w:szCs w:val="21"/>
              </w:rPr>
              <w:t>（演示方式要求采用真实系统环境。演示时间不超过</w:t>
            </w:r>
            <w:r>
              <w:rPr>
                <w:rFonts w:hint="eastAsia" w:ascii="宋体" w:hAnsi="宋体" w:cs="宋体"/>
                <w:color w:val="000000"/>
                <w:sz w:val="21"/>
                <w:szCs w:val="21"/>
                <w:lang w:val="en-US" w:eastAsia="zh-CN"/>
              </w:rPr>
              <w:t>15</w:t>
            </w:r>
            <w:r>
              <w:rPr>
                <w:rFonts w:hint="eastAsia" w:ascii="宋体" w:hAnsi="宋体" w:cs="宋体"/>
                <w:color w:val="000000"/>
                <w:sz w:val="21"/>
                <w:szCs w:val="21"/>
              </w:rPr>
              <w:t>分钟，演示所用到的电脑、网络等相关设备自备。）</w:t>
            </w:r>
            <w:r>
              <w:rPr>
                <w:rFonts w:hint="eastAsia" w:ascii="宋体" w:hAnsi="宋体" w:cs="宋体"/>
                <w:color w:val="000000"/>
                <w:sz w:val="21"/>
                <w:szCs w:val="21"/>
                <w:lang w:val="en-US" w:eastAsia="zh-CN"/>
              </w:rPr>
              <w:t>每提供一个模块真实演示得2分，本项满分10分。</w:t>
            </w:r>
          </w:p>
        </w:tc>
        <w:tc>
          <w:tcPr>
            <w:tcW w:w="837" w:type="dxa"/>
            <w:tcBorders>
              <w:top w:val="nil"/>
              <w:left w:val="nil"/>
              <w:bottom w:val="single" w:color="auto" w:sz="4" w:space="0"/>
              <w:right w:val="single" w:color="auto" w:sz="4" w:space="0"/>
            </w:tcBorders>
            <w:shd w:val="clear" w:color="000000" w:fill="FFFFFF"/>
            <w:vAlign w:val="center"/>
          </w:tcPr>
          <w:p w14:paraId="5268A732">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0-10</w:t>
            </w:r>
          </w:p>
        </w:tc>
        <w:tc>
          <w:tcPr>
            <w:tcW w:w="1038" w:type="dxa"/>
            <w:tcBorders>
              <w:top w:val="nil"/>
              <w:left w:val="nil"/>
              <w:bottom w:val="single" w:color="auto" w:sz="4" w:space="0"/>
              <w:right w:val="single" w:color="auto" w:sz="4" w:space="0"/>
            </w:tcBorders>
            <w:shd w:val="clear" w:color="000000" w:fill="FFFFFF"/>
            <w:vAlign w:val="center"/>
          </w:tcPr>
          <w:p w14:paraId="3E7FA763">
            <w:pPr>
              <w:jc w:val="center"/>
              <w:rPr>
                <w:rFonts w:hint="eastAsia" w:ascii="宋体" w:hAnsi="宋体" w:cs="宋体"/>
                <w:sz w:val="21"/>
                <w:szCs w:val="21"/>
              </w:rPr>
            </w:pPr>
          </w:p>
          <w:p w14:paraId="096270FC">
            <w:pPr>
              <w:pStyle w:val="3"/>
              <w:rPr>
                <w:rFonts w:hint="eastAsia" w:ascii="宋体" w:hAnsi="宋体" w:cs="宋体"/>
              </w:rPr>
            </w:pPr>
          </w:p>
        </w:tc>
      </w:tr>
      <w:tr w14:paraId="107D824A">
        <w:tblPrEx>
          <w:tblCellMar>
            <w:top w:w="0" w:type="dxa"/>
            <w:left w:w="108" w:type="dxa"/>
            <w:bottom w:w="0" w:type="dxa"/>
            <w:right w:w="108" w:type="dxa"/>
          </w:tblCellMar>
        </w:tblPrEx>
        <w:trPr>
          <w:trHeight w:val="576" w:hRule="atLeast"/>
          <w:jc w:val="center"/>
        </w:trPr>
        <w:tc>
          <w:tcPr>
            <w:tcW w:w="1217" w:type="dxa"/>
            <w:tcBorders>
              <w:top w:val="single" w:color="auto" w:sz="4" w:space="0"/>
              <w:left w:val="single" w:color="auto" w:sz="4" w:space="0"/>
              <w:bottom w:val="single" w:color="auto" w:sz="4" w:space="0"/>
              <w:right w:val="single" w:color="auto" w:sz="4" w:space="0"/>
            </w:tcBorders>
            <w:shd w:val="clear" w:color="000000" w:fill="FFFFFF"/>
            <w:vAlign w:val="center"/>
          </w:tcPr>
          <w:p w14:paraId="7BC4FE17">
            <w:pPr>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现场阐述（5分）</w:t>
            </w:r>
          </w:p>
        </w:tc>
        <w:tc>
          <w:tcPr>
            <w:tcW w:w="6534" w:type="dxa"/>
            <w:tcBorders>
              <w:top w:val="nil"/>
              <w:left w:val="nil"/>
              <w:bottom w:val="single" w:color="auto" w:sz="4" w:space="0"/>
              <w:right w:val="single" w:color="auto" w:sz="4" w:space="0"/>
            </w:tcBorders>
            <w:shd w:val="clear" w:color="000000" w:fill="FFFFFF"/>
            <w:vAlign w:val="center"/>
          </w:tcPr>
          <w:p w14:paraId="7F22D261">
            <w:pPr>
              <w:rPr>
                <w:rFonts w:hint="eastAsia" w:ascii="宋体" w:hAnsi="宋体" w:cs="宋体"/>
                <w:iCs/>
                <w:sz w:val="21"/>
                <w:szCs w:val="21"/>
                <w:lang w:val="en-US" w:eastAsia="zh-CN"/>
              </w:rPr>
            </w:pPr>
            <w:r>
              <w:rPr>
                <w:rFonts w:hint="eastAsia" w:ascii="宋体" w:hAnsi="宋体" w:cs="宋体"/>
                <w:iCs/>
                <w:sz w:val="21"/>
                <w:szCs w:val="21"/>
                <w:lang w:val="en-US" w:eastAsia="zh-CN"/>
              </w:rPr>
              <w:t>针对真实系统演示及合作商阐述针对本项目的系统进行兼容，配合招商方相关系统联调测试升级、平台系统运行等进行综合横向评分。</w:t>
            </w:r>
            <w:r>
              <w:rPr>
                <w:rFonts w:hint="eastAsia" w:ascii="宋体" w:hAnsi="宋体" w:cs="宋体"/>
                <w:iCs/>
                <w:sz w:val="21"/>
                <w:szCs w:val="21"/>
              </w:rPr>
              <w:t>优秀</w:t>
            </w:r>
            <w:r>
              <w:rPr>
                <w:rFonts w:hint="eastAsia" w:ascii="宋体" w:hAnsi="宋体" w:cs="宋体"/>
                <w:iCs/>
                <w:sz w:val="21"/>
                <w:szCs w:val="21"/>
                <w:lang w:val="en-US" w:eastAsia="zh-CN"/>
              </w:rPr>
              <w:t>5-4</w:t>
            </w:r>
            <w:r>
              <w:rPr>
                <w:rFonts w:hint="eastAsia" w:ascii="宋体" w:hAnsi="宋体" w:cs="宋体"/>
                <w:iCs/>
                <w:sz w:val="21"/>
                <w:szCs w:val="21"/>
              </w:rPr>
              <w:t>分，良好</w:t>
            </w:r>
            <w:r>
              <w:rPr>
                <w:rFonts w:hint="eastAsia" w:ascii="宋体" w:hAnsi="宋体" w:cs="宋体"/>
                <w:iCs/>
                <w:sz w:val="21"/>
                <w:szCs w:val="21"/>
                <w:lang w:val="en-US" w:eastAsia="zh-CN"/>
              </w:rPr>
              <w:t>4-3</w:t>
            </w:r>
            <w:r>
              <w:rPr>
                <w:rFonts w:hint="eastAsia" w:ascii="宋体" w:hAnsi="宋体" w:cs="宋体"/>
                <w:iCs/>
                <w:sz w:val="21"/>
                <w:szCs w:val="21"/>
              </w:rPr>
              <w:t>分，中等</w:t>
            </w:r>
            <w:r>
              <w:rPr>
                <w:rFonts w:hint="eastAsia" w:ascii="宋体" w:hAnsi="宋体" w:cs="宋体"/>
                <w:iCs/>
                <w:sz w:val="21"/>
                <w:szCs w:val="21"/>
                <w:lang w:val="en-US" w:eastAsia="zh-CN"/>
              </w:rPr>
              <w:t>2</w:t>
            </w:r>
            <w:r>
              <w:rPr>
                <w:rFonts w:hint="eastAsia" w:ascii="宋体" w:hAnsi="宋体" w:cs="宋体"/>
                <w:iCs/>
                <w:sz w:val="21"/>
                <w:szCs w:val="21"/>
              </w:rPr>
              <w:t>分，较差1分，不提供0分。</w:t>
            </w:r>
          </w:p>
        </w:tc>
        <w:tc>
          <w:tcPr>
            <w:tcW w:w="837" w:type="dxa"/>
            <w:tcBorders>
              <w:top w:val="nil"/>
              <w:left w:val="nil"/>
              <w:bottom w:val="single" w:color="auto" w:sz="4" w:space="0"/>
              <w:right w:val="single" w:color="auto" w:sz="4" w:space="0"/>
            </w:tcBorders>
            <w:shd w:val="clear" w:color="000000" w:fill="FFFFFF"/>
            <w:vAlign w:val="center"/>
          </w:tcPr>
          <w:p w14:paraId="7477EA91">
            <w:pPr>
              <w:jc w:val="center"/>
              <w:rPr>
                <w:rFonts w:hint="eastAsia" w:ascii="宋体" w:hAnsi="宋体" w:cs="宋体"/>
                <w:sz w:val="21"/>
                <w:szCs w:val="21"/>
                <w:lang w:val="en-US"/>
              </w:rPr>
            </w:pPr>
            <w:r>
              <w:rPr>
                <w:rFonts w:hint="eastAsia" w:ascii="宋体" w:hAnsi="宋体" w:cs="宋体"/>
                <w:sz w:val="21"/>
                <w:szCs w:val="21"/>
              </w:rPr>
              <w:t>0-</w:t>
            </w:r>
            <w:r>
              <w:rPr>
                <w:rFonts w:hint="eastAsia" w:ascii="宋体" w:hAnsi="宋体" w:cs="宋体"/>
                <w:sz w:val="21"/>
                <w:szCs w:val="21"/>
                <w:lang w:val="en-US" w:eastAsia="zh-CN"/>
              </w:rPr>
              <w:t>5</w:t>
            </w:r>
          </w:p>
        </w:tc>
        <w:tc>
          <w:tcPr>
            <w:tcW w:w="1038" w:type="dxa"/>
            <w:tcBorders>
              <w:top w:val="nil"/>
              <w:left w:val="nil"/>
              <w:bottom w:val="single" w:color="auto" w:sz="4" w:space="0"/>
              <w:right w:val="single" w:color="auto" w:sz="4" w:space="0"/>
            </w:tcBorders>
            <w:shd w:val="clear" w:color="000000" w:fill="FFFFFF"/>
            <w:vAlign w:val="center"/>
          </w:tcPr>
          <w:p w14:paraId="0AFB33F8">
            <w:pPr>
              <w:pStyle w:val="3"/>
              <w:rPr>
                <w:rFonts w:hint="eastAsia" w:ascii="宋体" w:hAnsi="宋体" w:cs="宋体"/>
              </w:rPr>
            </w:pPr>
          </w:p>
        </w:tc>
      </w:tr>
      <w:tr w14:paraId="6CA718AF">
        <w:tblPrEx>
          <w:tblCellMar>
            <w:top w:w="0" w:type="dxa"/>
            <w:left w:w="108" w:type="dxa"/>
            <w:bottom w:w="0" w:type="dxa"/>
            <w:right w:w="108" w:type="dxa"/>
          </w:tblCellMar>
        </w:tblPrEx>
        <w:trPr>
          <w:trHeight w:val="916" w:hRule="atLeast"/>
          <w:jc w:val="center"/>
        </w:trPr>
        <w:tc>
          <w:tcPr>
            <w:tcW w:w="1217" w:type="dxa"/>
            <w:tcBorders>
              <w:top w:val="nil"/>
              <w:left w:val="single" w:color="auto" w:sz="4" w:space="0"/>
              <w:right w:val="single" w:color="auto" w:sz="4" w:space="0"/>
            </w:tcBorders>
            <w:shd w:val="clear" w:color="000000" w:fill="FFFFFF"/>
            <w:vAlign w:val="center"/>
          </w:tcPr>
          <w:p w14:paraId="0AE7054B">
            <w:pPr>
              <w:jc w:val="center"/>
              <w:rPr>
                <w:rFonts w:hint="eastAsia" w:ascii="宋体" w:hAnsi="宋体" w:cs="宋体"/>
                <w:sz w:val="21"/>
                <w:szCs w:val="21"/>
              </w:rPr>
            </w:pPr>
            <w:r>
              <w:rPr>
                <w:rFonts w:hint="eastAsia" w:ascii="宋体" w:hAnsi="宋体" w:cs="宋体"/>
                <w:sz w:val="21"/>
                <w:szCs w:val="21"/>
              </w:rPr>
              <w:t>增值服务（</w:t>
            </w:r>
            <w:r>
              <w:rPr>
                <w:rFonts w:hint="eastAsia" w:ascii="宋体" w:hAnsi="宋体" w:cs="宋体"/>
                <w:sz w:val="21"/>
                <w:szCs w:val="21"/>
                <w:lang w:val="en-US" w:eastAsia="zh-CN"/>
              </w:rPr>
              <w:t>10</w:t>
            </w:r>
            <w:r>
              <w:rPr>
                <w:rFonts w:hint="eastAsia" w:ascii="宋体" w:hAnsi="宋体" w:cs="宋体"/>
                <w:sz w:val="21"/>
                <w:szCs w:val="21"/>
              </w:rPr>
              <w:t>分）</w:t>
            </w:r>
          </w:p>
        </w:tc>
        <w:tc>
          <w:tcPr>
            <w:tcW w:w="6534" w:type="dxa"/>
            <w:tcBorders>
              <w:top w:val="nil"/>
              <w:left w:val="nil"/>
              <w:bottom w:val="single" w:color="auto" w:sz="4" w:space="0"/>
              <w:right w:val="single" w:color="auto" w:sz="4" w:space="0"/>
            </w:tcBorders>
            <w:shd w:val="clear" w:color="000000" w:fill="FFFFFF"/>
            <w:vAlign w:val="center"/>
          </w:tcPr>
          <w:p w14:paraId="6A71B1D8">
            <w:pPr>
              <w:rPr>
                <w:rFonts w:hint="eastAsia" w:ascii="宋体" w:hAnsi="宋体" w:cs="宋体"/>
                <w:iCs/>
                <w:sz w:val="21"/>
                <w:szCs w:val="21"/>
                <w:lang w:val="en-US"/>
              </w:rPr>
            </w:pPr>
            <w:r>
              <w:rPr>
                <w:rFonts w:hint="eastAsia" w:ascii="宋体" w:hAnsi="宋体" w:cs="宋体"/>
                <w:iCs/>
                <w:sz w:val="21"/>
                <w:szCs w:val="21"/>
                <w:lang w:val="en-US" w:eastAsia="zh-CN"/>
              </w:rPr>
              <w:t>合作商将在贵阳农村商业银行股份有限公司“超值购·生活馆”渠道获取的客户的现金销售收入中，提取3%的资金用以策划并举办多种形式的活动，回馈给贵阳农村商业银行股份有限公司的优质客户群体，从而有效促进贵阳农村商业银行股份有限公司客户的忠诚度和粘黏度。得5分，每增加0.5%的得1分，最多得5分。本项目满分10分。（以提供项目运营方案为准）</w:t>
            </w:r>
          </w:p>
        </w:tc>
        <w:tc>
          <w:tcPr>
            <w:tcW w:w="837" w:type="dxa"/>
            <w:tcBorders>
              <w:top w:val="nil"/>
              <w:left w:val="nil"/>
              <w:right w:val="single" w:color="auto" w:sz="4" w:space="0"/>
            </w:tcBorders>
            <w:shd w:val="clear" w:color="000000" w:fill="FFFFFF"/>
            <w:vAlign w:val="center"/>
          </w:tcPr>
          <w:p w14:paraId="474C83DA">
            <w:pPr>
              <w:jc w:val="center"/>
              <w:rPr>
                <w:rFonts w:hint="eastAsia" w:ascii="宋体" w:hAnsi="宋体" w:eastAsia="宋体" w:cs="宋体"/>
                <w:sz w:val="21"/>
                <w:szCs w:val="21"/>
                <w:lang w:val="en-US" w:eastAsia="zh-CN"/>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nil"/>
              <w:left w:val="nil"/>
              <w:right w:val="single" w:color="auto" w:sz="4" w:space="0"/>
            </w:tcBorders>
            <w:shd w:val="clear" w:color="000000" w:fill="FFFFFF"/>
            <w:vAlign w:val="center"/>
          </w:tcPr>
          <w:p w14:paraId="5CCB9DEF">
            <w:pPr>
              <w:jc w:val="center"/>
              <w:rPr>
                <w:rFonts w:hint="eastAsia" w:ascii="宋体" w:hAnsi="宋体" w:cs="宋体"/>
                <w:sz w:val="21"/>
                <w:szCs w:val="21"/>
              </w:rPr>
            </w:pPr>
          </w:p>
        </w:tc>
      </w:tr>
      <w:tr w14:paraId="4491A917">
        <w:tblPrEx>
          <w:tblCellMar>
            <w:top w:w="0" w:type="dxa"/>
            <w:left w:w="108" w:type="dxa"/>
            <w:bottom w:w="0" w:type="dxa"/>
            <w:right w:w="108" w:type="dxa"/>
          </w:tblCellMar>
        </w:tblPrEx>
        <w:trPr>
          <w:cantSplit/>
          <w:trHeight w:val="869" w:hRule="atLeast"/>
          <w:jc w:val="center"/>
        </w:trPr>
        <w:tc>
          <w:tcPr>
            <w:tcW w:w="1217" w:type="dxa"/>
            <w:tcBorders>
              <w:top w:val="single" w:color="auto" w:sz="4" w:space="0"/>
              <w:left w:val="single" w:color="auto" w:sz="4" w:space="0"/>
              <w:right w:val="single" w:color="auto" w:sz="4" w:space="0"/>
            </w:tcBorders>
            <w:shd w:val="clear" w:color="000000" w:fill="FFFFFF"/>
            <w:vAlign w:val="center"/>
          </w:tcPr>
          <w:p w14:paraId="7B7856DD">
            <w:pPr>
              <w:jc w:val="center"/>
              <w:rPr>
                <w:rFonts w:hint="eastAsia" w:ascii="宋体" w:hAnsi="宋体" w:cs="宋体"/>
                <w:sz w:val="21"/>
                <w:szCs w:val="21"/>
              </w:rPr>
            </w:pPr>
            <w:r>
              <w:rPr>
                <w:rFonts w:hint="eastAsia" w:ascii="宋体" w:hAnsi="宋体" w:cs="宋体"/>
                <w:sz w:val="21"/>
                <w:szCs w:val="21"/>
              </w:rPr>
              <w:t>免费上门配送服务</w:t>
            </w:r>
          </w:p>
          <w:p w14:paraId="70CB6188">
            <w:pPr>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5</w:t>
            </w:r>
            <w:r>
              <w:rPr>
                <w:rFonts w:hint="eastAsia" w:ascii="宋体" w:hAnsi="宋体" w:cs="宋体"/>
                <w:sz w:val="21"/>
                <w:szCs w:val="21"/>
              </w:rPr>
              <w:t>分）</w:t>
            </w:r>
          </w:p>
        </w:tc>
        <w:tc>
          <w:tcPr>
            <w:tcW w:w="6534" w:type="dxa"/>
            <w:tcBorders>
              <w:top w:val="single" w:color="auto" w:sz="4" w:space="0"/>
              <w:left w:val="nil"/>
              <w:right w:val="single" w:color="auto" w:sz="4" w:space="0"/>
            </w:tcBorders>
            <w:shd w:val="clear" w:color="000000" w:fill="FFFFFF"/>
            <w:vAlign w:val="center"/>
          </w:tcPr>
          <w:p w14:paraId="7BD5AB83">
            <w:pPr>
              <w:rPr>
                <w:rFonts w:hint="eastAsia" w:ascii="宋体" w:hAnsi="宋体" w:cs="宋体"/>
                <w:sz w:val="21"/>
                <w:szCs w:val="21"/>
              </w:rPr>
            </w:pPr>
            <w:r>
              <w:rPr>
                <w:rFonts w:hint="eastAsia" w:ascii="宋体" w:hAnsi="宋体" w:cs="宋体"/>
                <w:sz w:val="21"/>
                <w:szCs w:val="21"/>
              </w:rPr>
              <w:t>当客户下单地址在贵阳农村商业银行股份有限公司营业网点3公里（含）范围内，下单商品总重量≤20公斤且下单金额≥30元时，应免收客户上门配送服务费。得</w:t>
            </w:r>
            <w:r>
              <w:rPr>
                <w:rFonts w:hint="eastAsia" w:ascii="宋体" w:hAnsi="宋体" w:cs="宋体"/>
                <w:sz w:val="21"/>
                <w:szCs w:val="21"/>
                <w:lang w:val="en-US" w:eastAsia="zh-CN"/>
              </w:rPr>
              <w:t>2</w:t>
            </w:r>
            <w:r>
              <w:rPr>
                <w:rFonts w:hint="eastAsia" w:ascii="宋体" w:hAnsi="宋体" w:cs="宋体"/>
                <w:sz w:val="21"/>
                <w:szCs w:val="21"/>
              </w:rPr>
              <w:t>分，</w:t>
            </w:r>
            <w:r>
              <w:rPr>
                <w:rFonts w:hint="eastAsia" w:ascii="宋体" w:hAnsi="宋体" w:cs="宋体"/>
                <w:iCs/>
                <w:sz w:val="21"/>
                <w:szCs w:val="21"/>
                <w:lang w:val="en-US" w:eastAsia="zh-CN"/>
              </w:rPr>
              <w:t>每增</w:t>
            </w: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公斤且下单金额≥</w:t>
            </w:r>
            <w:r>
              <w:rPr>
                <w:rFonts w:hint="eastAsia" w:ascii="宋体" w:hAnsi="宋体" w:cs="宋体"/>
                <w:sz w:val="21"/>
                <w:szCs w:val="21"/>
                <w:lang w:val="en-US" w:eastAsia="zh-CN"/>
              </w:rPr>
              <w:t>5</w:t>
            </w:r>
            <w:r>
              <w:rPr>
                <w:rFonts w:hint="eastAsia" w:ascii="宋体" w:hAnsi="宋体" w:cs="宋体"/>
                <w:sz w:val="21"/>
                <w:szCs w:val="21"/>
              </w:rPr>
              <w:t>元</w:t>
            </w:r>
            <w:r>
              <w:rPr>
                <w:rFonts w:hint="eastAsia" w:ascii="宋体" w:hAnsi="宋体" w:cs="宋体"/>
                <w:iCs/>
                <w:sz w:val="21"/>
                <w:szCs w:val="21"/>
                <w:lang w:val="en-US" w:eastAsia="zh-CN"/>
              </w:rPr>
              <w:t>的得1分，最多得3分。本项目满分5分。（以提供项目运营方案为准）</w:t>
            </w:r>
          </w:p>
        </w:tc>
        <w:tc>
          <w:tcPr>
            <w:tcW w:w="837" w:type="dxa"/>
            <w:tcBorders>
              <w:top w:val="single" w:color="auto" w:sz="4" w:space="0"/>
              <w:left w:val="nil"/>
              <w:right w:val="single" w:color="auto" w:sz="4" w:space="0"/>
            </w:tcBorders>
            <w:shd w:val="clear" w:color="000000" w:fill="FFFFFF"/>
            <w:vAlign w:val="center"/>
          </w:tcPr>
          <w:p w14:paraId="14E3777F">
            <w:pPr>
              <w:jc w:val="center"/>
              <w:rPr>
                <w:rFonts w:hint="eastAsia" w:ascii="宋体" w:hAnsi="宋体" w:cs="宋体"/>
                <w:sz w:val="21"/>
                <w:szCs w:val="21"/>
              </w:rPr>
            </w:pPr>
            <w:r>
              <w:rPr>
                <w:rFonts w:hint="eastAsia" w:ascii="宋体" w:hAnsi="宋体" w:cs="宋体"/>
                <w:sz w:val="21"/>
                <w:szCs w:val="21"/>
              </w:rPr>
              <w:t>0-5</w:t>
            </w:r>
          </w:p>
        </w:tc>
        <w:tc>
          <w:tcPr>
            <w:tcW w:w="1038" w:type="dxa"/>
            <w:tcBorders>
              <w:top w:val="single" w:color="auto" w:sz="4" w:space="0"/>
              <w:left w:val="nil"/>
              <w:right w:val="single" w:color="auto" w:sz="4" w:space="0"/>
            </w:tcBorders>
            <w:shd w:val="clear" w:color="000000" w:fill="FFFFFF"/>
            <w:vAlign w:val="center"/>
          </w:tcPr>
          <w:p w14:paraId="22B82BCA">
            <w:pPr>
              <w:jc w:val="center"/>
              <w:rPr>
                <w:rFonts w:hint="eastAsia" w:ascii="宋体" w:hAnsi="宋体" w:cs="宋体"/>
                <w:sz w:val="21"/>
                <w:szCs w:val="21"/>
              </w:rPr>
            </w:pPr>
          </w:p>
        </w:tc>
      </w:tr>
      <w:tr w14:paraId="5C522FC5">
        <w:tblPrEx>
          <w:tblCellMar>
            <w:top w:w="0" w:type="dxa"/>
            <w:left w:w="108" w:type="dxa"/>
            <w:bottom w:w="0" w:type="dxa"/>
            <w:right w:w="108" w:type="dxa"/>
          </w:tblCellMar>
        </w:tblPrEx>
        <w:trPr>
          <w:cantSplit/>
          <w:trHeight w:val="869" w:hRule="atLeast"/>
          <w:jc w:val="center"/>
        </w:trPr>
        <w:tc>
          <w:tcPr>
            <w:tcW w:w="1217" w:type="dxa"/>
            <w:tcBorders>
              <w:top w:val="single" w:color="auto" w:sz="4" w:space="0"/>
              <w:left w:val="single" w:color="auto" w:sz="4" w:space="0"/>
              <w:right w:val="single" w:color="auto" w:sz="4" w:space="0"/>
            </w:tcBorders>
            <w:shd w:val="clear" w:color="000000" w:fill="FFFFFF"/>
            <w:vAlign w:val="center"/>
          </w:tcPr>
          <w:p w14:paraId="285DA625">
            <w:pPr>
              <w:jc w:val="center"/>
              <w:rPr>
                <w:rFonts w:hint="eastAsia" w:ascii="宋体" w:hAnsi="宋体" w:eastAsia="宋体" w:cs="宋体"/>
                <w:i w:val="0"/>
                <w:iCs/>
                <w:sz w:val="21"/>
                <w:szCs w:val="21"/>
                <w:u w:val="none"/>
              </w:rPr>
            </w:pPr>
            <w:r>
              <w:rPr>
                <w:rFonts w:hint="eastAsia" w:ascii="宋体" w:hAnsi="宋体" w:eastAsia="宋体" w:cs="宋体"/>
                <w:i w:val="0"/>
                <w:iCs/>
                <w:color w:val="auto"/>
                <w:sz w:val="21"/>
                <w:szCs w:val="21"/>
                <w:highlight w:val="none"/>
                <w:u w:val="none"/>
              </w:rPr>
              <w:t>服务响应时间</w:t>
            </w:r>
          </w:p>
          <w:p w14:paraId="6F4F8637">
            <w:pPr>
              <w:jc w:val="center"/>
              <w:rPr>
                <w:rFonts w:hint="eastAsia" w:ascii="宋体" w:hAnsi="宋体" w:eastAsia="宋体" w:cs="宋体"/>
                <w:i w:val="0"/>
                <w:iCs/>
                <w:sz w:val="21"/>
                <w:szCs w:val="21"/>
                <w:u w:val="none"/>
                <w:lang w:eastAsia="zh-CN"/>
              </w:rPr>
            </w:pPr>
            <w:r>
              <w:rPr>
                <w:rFonts w:hint="eastAsia" w:ascii="宋体" w:hAnsi="宋体" w:cs="宋体"/>
                <w:i w:val="0"/>
                <w:iCs/>
                <w:sz w:val="21"/>
                <w:szCs w:val="21"/>
                <w:u w:val="none"/>
                <w:lang w:eastAsia="zh-CN"/>
              </w:rPr>
              <w:t>（</w:t>
            </w:r>
            <w:r>
              <w:rPr>
                <w:rFonts w:hint="eastAsia" w:ascii="宋体" w:hAnsi="宋体" w:cs="宋体"/>
                <w:i w:val="0"/>
                <w:iCs/>
                <w:sz w:val="21"/>
                <w:szCs w:val="21"/>
                <w:u w:val="none"/>
                <w:lang w:val="en-US" w:eastAsia="zh-CN"/>
              </w:rPr>
              <w:t>10分</w:t>
            </w:r>
            <w:r>
              <w:rPr>
                <w:rFonts w:hint="eastAsia" w:ascii="宋体" w:hAnsi="宋体" w:cs="宋体"/>
                <w:i w:val="0"/>
                <w:iCs/>
                <w:sz w:val="21"/>
                <w:szCs w:val="21"/>
                <w:u w:val="none"/>
                <w:lang w:eastAsia="zh-CN"/>
              </w:rPr>
              <w:t>）</w:t>
            </w:r>
          </w:p>
        </w:tc>
        <w:tc>
          <w:tcPr>
            <w:tcW w:w="6534" w:type="dxa"/>
            <w:tcBorders>
              <w:top w:val="single" w:color="auto" w:sz="4" w:space="0"/>
              <w:left w:val="nil"/>
              <w:right w:val="single" w:color="auto" w:sz="4" w:space="0"/>
            </w:tcBorders>
            <w:shd w:val="clear" w:color="000000" w:fill="FFFFFF"/>
            <w:vAlign w:val="center"/>
          </w:tcPr>
          <w:p w14:paraId="64A85CE7">
            <w:pPr>
              <w:rPr>
                <w:rFonts w:hint="eastAsia" w:ascii="宋体" w:hAnsi="宋体" w:cs="宋体"/>
                <w:sz w:val="21"/>
                <w:szCs w:val="21"/>
              </w:rPr>
            </w:pPr>
            <w:r>
              <w:rPr>
                <w:rFonts w:hint="eastAsia" w:ascii="宋体" w:hAnsi="宋体" w:eastAsia="宋体" w:cs="宋体"/>
                <w:i w:val="0"/>
                <w:iCs/>
                <w:color w:val="auto"/>
                <w:sz w:val="21"/>
                <w:szCs w:val="21"/>
                <w:highlight w:val="none"/>
                <w:u w:val="none"/>
                <w:lang w:val="en-US" w:eastAsia="zh-CN"/>
              </w:rPr>
              <w:t>合作商</w:t>
            </w:r>
            <w:r>
              <w:rPr>
                <w:rFonts w:hint="eastAsia" w:ascii="宋体" w:hAnsi="宋体" w:eastAsia="宋体" w:cs="宋体"/>
                <w:i w:val="0"/>
                <w:iCs/>
                <w:color w:val="auto"/>
                <w:sz w:val="21"/>
                <w:szCs w:val="21"/>
                <w:highlight w:val="none"/>
                <w:u w:val="none"/>
              </w:rPr>
              <w:t>须保证在接到通知后及时提供服务，服务响应时间为2小时，</w:t>
            </w:r>
            <w:r>
              <w:rPr>
                <w:rFonts w:hint="eastAsia" w:ascii="宋体" w:hAnsi="宋体" w:eastAsia="宋体" w:cs="宋体"/>
                <w:i w:val="0"/>
                <w:iCs/>
                <w:color w:val="auto"/>
                <w:sz w:val="21"/>
                <w:szCs w:val="21"/>
                <w:highlight w:val="none"/>
                <w:u w:val="none"/>
                <w:lang w:val="en-US" w:eastAsia="zh-CN"/>
              </w:rPr>
              <w:t>合作商</w:t>
            </w:r>
            <w:r>
              <w:rPr>
                <w:rFonts w:hint="eastAsia" w:ascii="宋体" w:hAnsi="宋体" w:eastAsia="宋体" w:cs="宋体"/>
                <w:i w:val="0"/>
                <w:iCs/>
                <w:color w:val="auto"/>
                <w:sz w:val="21"/>
                <w:szCs w:val="21"/>
                <w:highlight w:val="none"/>
                <w:u w:val="none"/>
              </w:rPr>
              <w:t>应承诺提供7x24小时服务。</w:t>
            </w:r>
            <w:r>
              <w:rPr>
                <w:rFonts w:hint="eastAsia" w:ascii="宋体" w:hAnsi="宋体" w:cs="宋体"/>
                <w:iCs/>
                <w:sz w:val="21"/>
                <w:szCs w:val="21"/>
                <w:lang w:val="en-US" w:eastAsia="zh-CN"/>
              </w:rPr>
              <w:t>得5分，每提前5分钟得1分，最多得5分。本项目满分10分。（以提供项目运营方案为准）</w:t>
            </w:r>
          </w:p>
        </w:tc>
        <w:tc>
          <w:tcPr>
            <w:tcW w:w="837" w:type="dxa"/>
            <w:tcBorders>
              <w:top w:val="single" w:color="auto" w:sz="4" w:space="0"/>
              <w:left w:val="nil"/>
              <w:right w:val="single" w:color="auto" w:sz="4" w:space="0"/>
            </w:tcBorders>
            <w:shd w:val="clear" w:color="000000" w:fill="FFFFFF"/>
            <w:vAlign w:val="center"/>
          </w:tcPr>
          <w:p w14:paraId="44BCFA14">
            <w:pPr>
              <w:jc w:val="center"/>
              <w:rPr>
                <w:rFonts w:hint="eastAsia" w:ascii="宋体" w:hAnsi="宋体" w:cs="宋体"/>
                <w:sz w:val="21"/>
                <w:szCs w:val="21"/>
              </w:rPr>
            </w:pPr>
            <w:r>
              <w:rPr>
                <w:rFonts w:hint="eastAsia" w:ascii="宋体" w:hAnsi="宋体" w:cs="宋体"/>
                <w:sz w:val="21"/>
                <w:szCs w:val="21"/>
              </w:rPr>
              <w:t>0-</w:t>
            </w:r>
            <w:r>
              <w:rPr>
                <w:rFonts w:hint="eastAsia" w:ascii="宋体" w:hAnsi="宋体" w:cs="宋体"/>
                <w:sz w:val="21"/>
                <w:szCs w:val="21"/>
                <w:lang w:val="en-US" w:eastAsia="zh-CN"/>
              </w:rPr>
              <w:t>10</w:t>
            </w:r>
          </w:p>
        </w:tc>
        <w:tc>
          <w:tcPr>
            <w:tcW w:w="1038" w:type="dxa"/>
            <w:tcBorders>
              <w:top w:val="single" w:color="auto" w:sz="4" w:space="0"/>
              <w:left w:val="nil"/>
              <w:right w:val="single" w:color="auto" w:sz="4" w:space="0"/>
            </w:tcBorders>
            <w:shd w:val="clear" w:color="000000" w:fill="FFFFFF"/>
            <w:vAlign w:val="center"/>
          </w:tcPr>
          <w:p w14:paraId="5EB2D34C">
            <w:pPr>
              <w:jc w:val="center"/>
              <w:rPr>
                <w:rFonts w:hint="eastAsia" w:ascii="宋体" w:hAnsi="宋体" w:cs="宋体"/>
                <w:sz w:val="21"/>
                <w:szCs w:val="21"/>
              </w:rPr>
            </w:pPr>
          </w:p>
        </w:tc>
      </w:tr>
      <w:tr w14:paraId="517CAC1A">
        <w:tblPrEx>
          <w:tblCellMar>
            <w:top w:w="0" w:type="dxa"/>
            <w:left w:w="108" w:type="dxa"/>
            <w:bottom w:w="0" w:type="dxa"/>
            <w:right w:w="108" w:type="dxa"/>
          </w:tblCellMar>
        </w:tblPrEx>
        <w:trPr>
          <w:cantSplit/>
          <w:trHeight w:val="646" w:hRule="atLeast"/>
          <w:jc w:val="center"/>
        </w:trPr>
        <w:tc>
          <w:tcPr>
            <w:tcW w:w="1217" w:type="dxa"/>
            <w:tcBorders>
              <w:top w:val="single" w:color="auto" w:sz="4" w:space="0"/>
              <w:left w:val="single" w:color="auto" w:sz="4" w:space="0"/>
              <w:right w:val="single" w:color="auto" w:sz="4" w:space="0"/>
            </w:tcBorders>
            <w:shd w:val="clear" w:color="000000" w:fill="FFFFFF"/>
            <w:vAlign w:val="center"/>
          </w:tcPr>
          <w:p w14:paraId="7023FDB8">
            <w:pPr>
              <w:jc w:val="center"/>
              <w:rPr>
                <w:rFonts w:hint="eastAsia" w:ascii="宋体" w:hAnsi="宋体" w:cs="宋体"/>
                <w:sz w:val="21"/>
                <w:szCs w:val="21"/>
                <w:highlight w:val="none"/>
              </w:rPr>
            </w:pPr>
            <w:r>
              <w:rPr>
                <w:rFonts w:hint="eastAsia" w:ascii="宋体" w:hAnsi="宋体" w:cs="宋体"/>
                <w:sz w:val="21"/>
                <w:szCs w:val="21"/>
                <w:highlight w:val="none"/>
              </w:rPr>
              <w:t>价格分</w:t>
            </w:r>
          </w:p>
          <w:p w14:paraId="1CB585EF">
            <w:pPr>
              <w:jc w:val="center"/>
              <w:rPr>
                <w:rFonts w:hint="eastAsia" w:ascii="宋体" w:hAnsi="宋体" w:cs="宋体"/>
                <w:sz w:val="21"/>
                <w:szCs w:val="21"/>
                <w:highlight w:val="none"/>
                <w:lang w:val="en-US" w:eastAsia="zh-CN"/>
              </w:rPr>
            </w:pPr>
            <w:r>
              <w:rPr>
                <w:rFonts w:hint="eastAsia" w:ascii="宋体" w:hAnsi="宋体" w:cs="宋体"/>
                <w:sz w:val="21"/>
                <w:szCs w:val="21"/>
                <w:highlight w:val="none"/>
              </w:rPr>
              <w:t>（</w:t>
            </w:r>
            <w:r>
              <w:rPr>
                <w:rFonts w:hint="eastAsia" w:ascii="宋体" w:hAnsi="宋体" w:cs="宋体"/>
                <w:sz w:val="21"/>
                <w:szCs w:val="21"/>
                <w:highlight w:val="none"/>
                <w:lang w:val="en-US" w:eastAsia="zh-CN"/>
              </w:rPr>
              <w:t>5</w:t>
            </w:r>
            <w:r>
              <w:rPr>
                <w:rFonts w:hint="eastAsia" w:ascii="宋体" w:hAnsi="宋体" w:cs="宋体"/>
                <w:sz w:val="21"/>
                <w:szCs w:val="21"/>
                <w:highlight w:val="none"/>
              </w:rPr>
              <w:t>0分）</w:t>
            </w:r>
          </w:p>
        </w:tc>
        <w:tc>
          <w:tcPr>
            <w:tcW w:w="6534" w:type="dxa"/>
            <w:tcBorders>
              <w:top w:val="single" w:color="auto" w:sz="4" w:space="0"/>
              <w:left w:val="nil"/>
              <w:bottom w:val="single" w:color="auto" w:sz="4" w:space="0"/>
              <w:right w:val="single" w:color="auto" w:sz="4" w:space="0"/>
            </w:tcBorders>
            <w:shd w:val="clear" w:color="000000" w:fill="FFFFFF"/>
            <w:vAlign w:val="center"/>
          </w:tcPr>
          <w:p w14:paraId="755F6460">
            <w:pPr>
              <w:pStyle w:val="4"/>
              <w:numPr>
                <w:ilvl w:val="0"/>
                <w:numId w:val="0"/>
              </w:numPr>
              <w:rPr>
                <w:rFonts w:hint="eastAsia" w:ascii="宋体" w:hAnsi="宋体" w:eastAsia="宋体" w:cs="宋体"/>
                <w:highlight w:val="none"/>
              </w:rPr>
            </w:pPr>
            <w:r>
              <w:rPr>
                <w:rFonts w:hint="eastAsia" w:ascii="宋体" w:hAnsi="宋体" w:eastAsia="宋体" w:cs="宋体"/>
                <w:sz w:val="21"/>
                <w:szCs w:val="21"/>
                <w:highlight w:val="none"/>
              </w:rPr>
              <w:t>价格分</w:t>
            </w:r>
            <w:r>
              <w:rPr>
                <w:rFonts w:hint="eastAsia" w:ascii="宋体" w:hAnsi="宋体" w:eastAsia="宋体" w:cs="宋体"/>
                <w:sz w:val="21"/>
                <w:szCs w:val="21"/>
                <w:highlight w:val="none"/>
                <w:lang w:val="en-US" w:eastAsia="zh-CN"/>
              </w:rPr>
              <w:t>由两部分</w:t>
            </w:r>
            <w:r>
              <w:rPr>
                <w:rFonts w:hint="eastAsia" w:ascii="宋体" w:hAnsi="宋体" w:eastAsia="宋体" w:cs="宋体"/>
                <w:sz w:val="21"/>
                <w:szCs w:val="21"/>
                <w:highlight w:val="none"/>
              </w:rPr>
              <w:t>组成：</w:t>
            </w:r>
            <w:r>
              <w:rPr>
                <w:rFonts w:hint="eastAsia" w:ascii="宋体" w:hAnsi="宋体" w:eastAsia="宋体" w:cs="宋体"/>
                <w:sz w:val="21"/>
                <w:szCs w:val="21"/>
                <w:highlight w:val="none"/>
                <w:lang w:val="en-US" w:eastAsia="zh-CN"/>
              </w:rPr>
              <w:t>普通商品专区</w:t>
            </w:r>
            <w:r>
              <w:rPr>
                <w:rFonts w:hint="eastAsia" w:ascii="宋体" w:hAnsi="宋体" w:cs="宋体"/>
                <w:sz w:val="21"/>
                <w:szCs w:val="21"/>
                <w:highlight w:val="none"/>
                <w:lang w:val="en-US" w:eastAsia="zh-CN"/>
              </w:rPr>
              <w:t>40</w:t>
            </w:r>
            <w:r>
              <w:rPr>
                <w:rFonts w:hint="eastAsia" w:ascii="宋体" w:hAnsi="宋体" w:eastAsia="宋体" w:cs="宋体"/>
                <w:sz w:val="21"/>
                <w:szCs w:val="21"/>
                <w:highlight w:val="none"/>
                <w:lang w:val="en-US" w:eastAsia="zh-CN"/>
              </w:rPr>
              <w:t>分</w:t>
            </w:r>
            <w:r>
              <w:rPr>
                <w:rFonts w:hint="eastAsia" w:ascii="宋体" w:hAnsi="宋体" w:eastAsia="宋体" w:cs="宋体"/>
                <w:sz w:val="21"/>
                <w:szCs w:val="21"/>
                <w:highlight w:val="none"/>
              </w:rPr>
              <w:t>（报</w:t>
            </w:r>
            <w:r>
              <w:rPr>
                <w:rFonts w:hint="eastAsia" w:ascii="宋体" w:hAnsi="宋体" w:eastAsia="宋体" w:cs="宋体"/>
                <w:sz w:val="21"/>
                <w:szCs w:val="21"/>
                <w:highlight w:val="none"/>
                <w:lang w:val="en-US" w:eastAsia="zh-CN"/>
              </w:rPr>
              <w:t>下浮</w:t>
            </w:r>
            <w:r>
              <w:rPr>
                <w:rFonts w:hint="eastAsia" w:ascii="宋体" w:hAnsi="宋体" w:eastAsia="宋体" w:cs="宋体"/>
                <w:sz w:val="21"/>
                <w:szCs w:val="21"/>
                <w:highlight w:val="none"/>
              </w:rPr>
              <w:t>率）</w:t>
            </w:r>
            <w:r>
              <w:rPr>
                <w:rFonts w:hint="eastAsia" w:ascii="宋体" w:hAnsi="宋体" w:eastAsia="宋体" w:cs="宋体"/>
                <w:sz w:val="21"/>
                <w:szCs w:val="21"/>
                <w:highlight w:val="none"/>
                <w:lang w:val="en-US" w:eastAsia="zh-CN"/>
              </w:rPr>
              <w:t>+绿色有机及溯源食品专区</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分（报</w:t>
            </w:r>
            <w:r>
              <w:rPr>
                <w:rFonts w:hint="eastAsia" w:ascii="宋体" w:hAnsi="宋体" w:eastAsia="宋体" w:cs="宋体"/>
                <w:sz w:val="21"/>
                <w:szCs w:val="21"/>
                <w:highlight w:val="none"/>
                <w:lang w:val="en-US" w:eastAsia="zh-CN"/>
              </w:rPr>
              <w:t>下浮</w:t>
            </w:r>
            <w:r>
              <w:rPr>
                <w:rFonts w:hint="eastAsia" w:ascii="宋体" w:hAnsi="宋体" w:eastAsia="宋体" w:cs="宋体"/>
                <w:sz w:val="21"/>
                <w:szCs w:val="21"/>
                <w:highlight w:val="none"/>
              </w:rPr>
              <w:t>率）。</w:t>
            </w:r>
          </w:p>
          <w:p w14:paraId="1DB17293">
            <w:pPr>
              <w:pStyle w:val="4"/>
              <w:numPr>
                <w:ilvl w:val="0"/>
                <w:numId w:val="0"/>
              </w:numPr>
              <w:rPr>
                <w:rFonts w:hint="eastAsia" w:ascii="宋体" w:hAnsi="宋体" w:eastAsia="宋体" w:cs="宋体"/>
                <w:sz w:val="21"/>
                <w:szCs w:val="21"/>
                <w:highlight w:val="none"/>
              </w:rPr>
            </w:pPr>
            <w:r>
              <w:rPr>
                <w:rFonts w:hint="eastAsia" w:ascii="宋体" w:hAnsi="宋体" w:eastAsia="宋体" w:cs="宋体"/>
                <w:sz w:val="21"/>
                <w:szCs w:val="21"/>
                <w:highlight w:val="none"/>
              </w:rPr>
              <w:t>各部分评分办法如下：</w:t>
            </w:r>
          </w:p>
          <w:p w14:paraId="563D7A47">
            <w:pPr>
              <w:pStyle w:val="4"/>
              <w:numPr>
                <w:ilvl w:val="0"/>
                <w:numId w:val="0"/>
              </w:numPr>
              <w:ind w:leftChars="0"/>
              <w:rPr>
                <w:rFonts w:hint="default" w:ascii="宋体" w:hAnsi="宋体" w:eastAsia="宋体" w:cs="宋体"/>
                <w:b/>
                <w:bCs/>
                <w:kern w:val="0"/>
                <w:szCs w:val="21"/>
                <w:highlight w:val="none"/>
                <w:lang w:val="en-US" w:eastAsia="zh-CN"/>
              </w:rPr>
            </w:pPr>
            <w:r>
              <w:rPr>
                <w:rFonts w:hint="eastAsia" w:ascii="宋体" w:hAnsi="宋体" w:eastAsia="宋体" w:cs="宋体"/>
                <w:b/>
                <w:bCs/>
                <w:sz w:val="21"/>
                <w:szCs w:val="21"/>
                <w:highlight w:val="none"/>
                <w:lang w:val="en-US" w:eastAsia="zh-CN"/>
              </w:rPr>
              <w:t>1、普通商品专区</w:t>
            </w:r>
            <w:r>
              <w:rPr>
                <w:rFonts w:hint="eastAsia" w:ascii="宋体" w:hAnsi="宋体" w:eastAsia="宋体" w:cs="宋体"/>
                <w:b/>
                <w:bCs/>
                <w:sz w:val="21"/>
                <w:szCs w:val="21"/>
                <w:highlight w:val="none"/>
              </w:rPr>
              <w:t>（</w:t>
            </w:r>
            <w:r>
              <w:rPr>
                <w:rFonts w:hint="eastAsia" w:ascii="宋体" w:hAnsi="宋体" w:cs="宋体"/>
                <w:b/>
                <w:bCs/>
                <w:sz w:val="21"/>
                <w:szCs w:val="21"/>
                <w:highlight w:val="none"/>
                <w:lang w:val="en-US" w:eastAsia="zh-CN"/>
              </w:rPr>
              <w:t>40</w:t>
            </w:r>
            <w:r>
              <w:rPr>
                <w:rFonts w:hint="eastAsia" w:ascii="宋体" w:hAnsi="宋体" w:eastAsia="宋体" w:cs="宋体"/>
                <w:b/>
                <w:bCs/>
                <w:sz w:val="21"/>
                <w:szCs w:val="21"/>
                <w:highlight w:val="none"/>
              </w:rPr>
              <w:t>分）：</w:t>
            </w:r>
          </w:p>
          <w:p w14:paraId="0BA54752">
            <w:pPr>
              <w:pStyle w:val="4"/>
              <w:numPr>
                <w:ilvl w:val="0"/>
                <w:numId w:val="0"/>
              </w:numPr>
              <w:rPr>
                <w:rFonts w:hint="default" w:ascii="宋体" w:hAnsi="宋体" w:eastAsia="宋体" w:cs="宋体"/>
                <w:sz w:val="21"/>
                <w:szCs w:val="21"/>
                <w:highlight w:val="none"/>
                <w:lang w:val="en-US" w:eastAsia="zh-CN"/>
              </w:rPr>
            </w:pPr>
            <w:r>
              <w:rPr>
                <w:rFonts w:hint="eastAsia" w:ascii="宋体" w:hAnsi="宋体" w:cs="宋体"/>
                <w:sz w:val="21"/>
                <w:szCs w:val="21"/>
                <w:highlight w:val="none"/>
              </w:rPr>
              <w:t>商品销售定价</w:t>
            </w:r>
            <w:r>
              <w:rPr>
                <w:rFonts w:hint="eastAsia" w:ascii="宋体" w:hAnsi="宋体" w:cs="宋体"/>
                <w:sz w:val="21"/>
                <w:szCs w:val="21"/>
                <w:highlight w:val="none"/>
                <w:lang w:val="en-US" w:eastAsia="zh-CN"/>
              </w:rPr>
              <w:t>最低</w:t>
            </w:r>
            <w:r>
              <w:rPr>
                <w:rFonts w:hint="eastAsia" w:ascii="宋体" w:hAnsi="宋体" w:cs="宋体"/>
                <w:b/>
                <w:bCs/>
                <w:sz w:val="21"/>
                <w:szCs w:val="21"/>
                <w:highlight w:val="none"/>
                <w:lang w:val="en-US" w:eastAsia="zh-CN"/>
              </w:rPr>
              <w:t>下浮率须≥5%，</w:t>
            </w:r>
            <w:r>
              <w:rPr>
                <w:rFonts w:hint="eastAsia" w:ascii="仿宋_GB2312" w:hAnsi="仿宋_GB2312" w:eastAsia="仿宋_GB2312" w:cs="仿宋_GB2312"/>
                <w:kern w:val="0"/>
                <w:szCs w:val="21"/>
                <w:highlight w:val="none"/>
                <w:lang w:val="en-US" w:eastAsia="zh-CN"/>
              </w:rPr>
              <w:t>在此基础上，所报费率从高到低排序，第一名40分，第</w:t>
            </w:r>
            <w:r>
              <w:rPr>
                <w:rFonts w:hint="eastAsia" w:ascii="仿宋_GB2312" w:hAnsi="仿宋_GB2312" w:eastAsia="仿宋_GB2312" w:cs="仿宋_GB2312"/>
                <w:sz w:val="21"/>
                <w:szCs w:val="21"/>
                <w:highlight w:val="none"/>
                <w:lang w:val="en-US" w:eastAsia="zh-CN"/>
              </w:rPr>
              <w:t>二名30分，第三名20分，第四名10分，第五名及以后5分。</w:t>
            </w:r>
          </w:p>
          <w:p w14:paraId="67F4F3D4">
            <w:pPr>
              <w:pStyle w:val="4"/>
              <w:numPr>
                <w:ilvl w:val="0"/>
                <w:numId w:val="0"/>
              </w:numPr>
              <w:rPr>
                <w:rFonts w:hint="eastAsia" w:ascii="宋体" w:hAnsi="宋体" w:eastAsia="宋体" w:cs="宋体"/>
                <w:b/>
                <w:bCs/>
                <w:kern w:val="0"/>
                <w:szCs w:val="21"/>
                <w:highlight w:val="none"/>
                <w:lang w:val="en-US" w:eastAsia="zh-CN"/>
              </w:rPr>
            </w:pPr>
            <w:r>
              <w:rPr>
                <w:rFonts w:hint="eastAsia" w:ascii="宋体" w:hAnsi="宋体" w:eastAsia="宋体" w:cs="宋体"/>
                <w:b/>
                <w:bCs/>
                <w:kern w:val="0"/>
                <w:szCs w:val="21"/>
                <w:highlight w:val="none"/>
                <w:lang w:val="en-US" w:eastAsia="zh-CN"/>
              </w:rPr>
              <w:t>2、绿色有机及溯源食品专区（</w:t>
            </w:r>
            <w:r>
              <w:rPr>
                <w:rFonts w:hint="eastAsia" w:ascii="宋体" w:hAnsi="宋体" w:cs="宋体"/>
                <w:b/>
                <w:bCs/>
                <w:kern w:val="0"/>
                <w:szCs w:val="21"/>
                <w:highlight w:val="none"/>
                <w:lang w:val="en-US" w:eastAsia="zh-CN"/>
              </w:rPr>
              <w:t>1</w:t>
            </w:r>
            <w:r>
              <w:rPr>
                <w:rFonts w:hint="eastAsia" w:ascii="宋体" w:hAnsi="宋体" w:eastAsia="宋体" w:cs="宋体"/>
                <w:b/>
                <w:bCs/>
                <w:kern w:val="0"/>
                <w:szCs w:val="21"/>
                <w:highlight w:val="none"/>
                <w:lang w:val="en-US" w:eastAsia="zh-CN"/>
              </w:rPr>
              <w:t>0分）：</w:t>
            </w:r>
          </w:p>
          <w:p w14:paraId="4D3A1DE3">
            <w:pPr>
              <w:pStyle w:val="4"/>
              <w:numPr>
                <w:ilvl w:val="0"/>
                <w:numId w:val="0"/>
              </w:numPr>
              <w:rPr>
                <w:rFonts w:hint="default" w:ascii="宋体" w:hAnsi="宋体" w:eastAsia="宋体" w:cs="宋体"/>
                <w:sz w:val="21"/>
                <w:szCs w:val="21"/>
                <w:highlight w:val="none"/>
                <w:lang w:val="en-US" w:eastAsia="zh-CN"/>
              </w:rPr>
            </w:pPr>
            <w:r>
              <w:rPr>
                <w:rFonts w:hint="eastAsia" w:ascii="宋体" w:hAnsi="宋体" w:cs="宋体"/>
                <w:sz w:val="21"/>
                <w:szCs w:val="21"/>
                <w:highlight w:val="none"/>
              </w:rPr>
              <w:t>商品销售定价</w:t>
            </w:r>
            <w:r>
              <w:rPr>
                <w:rFonts w:hint="eastAsia" w:ascii="宋体" w:hAnsi="宋体" w:cs="宋体"/>
                <w:sz w:val="21"/>
                <w:szCs w:val="21"/>
                <w:highlight w:val="none"/>
                <w:lang w:val="en-US" w:eastAsia="zh-CN"/>
              </w:rPr>
              <w:t>最低</w:t>
            </w:r>
            <w:r>
              <w:rPr>
                <w:rFonts w:hint="eastAsia" w:ascii="宋体" w:hAnsi="宋体" w:cs="宋体"/>
                <w:b/>
                <w:bCs/>
                <w:sz w:val="21"/>
                <w:szCs w:val="21"/>
                <w:highlight w:val="none"/>
                <w:lang w:val="en-US" w:eastAsia="zh-CN"/>
              </w:rPr>
              <w:t>下浮率须≥5%，</w:t>
            </w:r>
            <w:r>
              <w:rPr>
                <w:rFonts w:hint="eastAsia" w:ascii="仿宋_GB2312" w:hAnsi="仿宋_GB2312" w:eastAsia="仿宋_GB2312" w:cs="仿宋_GB2312"/>
                <w:kern w:val="0"/>
                <w:szCs w:val="21"/>
                <w:highlight w:val="none"/>
                <w:lang w:val="en-US" w:eastAsia="zh-CN"/>
              </w:rPr>
              <w:t>在此基础上，所报费率从高到低排序，第一名10分，第</w:t>
            </w:r>
            <w:r>
              <w:rPr>
                <w:rFonts w:hint="eastAsia" w:ascii="仿宋_GB2312" w:hAnsi="仿宋_GB2312" w:eastAsia="仿宋_GB2312" w:cs="仿宋_GB2312"/>
                <w:sz w:val="21"/>
                <w:szCs w:val="21"/>
                <w:highlight w:val="none"/>
                <w:lang w:val="en-US" w:eastAsia="zh-CN"/>
              </w:rPr>
              <w:t>二名8分，第三名6分，第四名4分，第五名及以后2分。</w:t>
            </w:r>
          </w:p>
          <w:p w14:paraId="5BA9C7B3">
            <w:pPr>
              <w:pStyle w:val="4"/>
              <w:numPr>
                <w:ilvl w:val="0"/>
                <w:numId w:val="0"/>
              </w:numPr>
              <w:ind w:leftChars="0"/>
              <w:rPr>
                <w:rFonts w:hint="eastAsia" w:ascii="宋体" w:hAnsi="宋体" w:eastAsia="宋体" w:cs="宋体"/>
                <w:bCs/>
                <w:highlight w:val="none"/>
                <w:lang w:eastAsia="zh-CN"/>
              </w:rPr>
            </w:pPr>
          </w:p>
        </w:tc>
        <w:tc>
          <w:tcPr>
            <w:tcW w:w="837" w:type="dxa"/>
            <w:tcBorders>
              <w:top w:val="single" w:color="auto" w:sz="4" w:space="0"/>
              <w:left w:val="nil"/>
              <w:bottom w:val="single" w:color="auto" w:sz="4" w:space="0"/>
              <w:right w:val="single" w:color="auto" w:sz="4" w:space="0"/>
            </w:tcBorders>
            <w:shd w:val="clear" w:color="000000" w:fill="FFFFFF"/>
            <w:vAlign w:val="center"/>
          </w:tcPr>
          <w:p w14:paraId="33612992">
            <w:pPr>
              <w:adjustRightInd w:val="0"/>
              <w:snapToGrid w:val="0"/>
              <w:jc w:val="center"/>
              <w:rPr>
                <w:rFonts w:hint="eastAsia" w:ascii="宋体" w:hAnsi="宋体" w:cs="宋体"/>
                <w:sz w:val="21"/>
                <w:szCs w:val="21"/>
                <w:highlight w:val="none"/>
              </w:rPr>
            </w:pPr>
            <w:r>
              <w:rPr>
                <w:rFonts w:hint="eastAsia" w:ascii="宋体" w:hAnsi="宋体" w:cs="宋体"/>
                <w:sz w:val="21"/>
                <w:szCs w:val="21"/>
                <w:highlight w:val="none"/>
              </w:rPr>
              <w:t>0-</w:t>
            </w:r>
            <w:r>
              <w:rPr>
                <w:rFonts w:hint="eastAsia" w:ascii="宋体" w:hAnsi="宋体" w:cs="宋体"/>
                <w:sz w:val="21"/>
                <w:szCs w:val="21"/>
                <w:highlight w:val="none"/>
                <w:lang w:val="en-US" w:eastAsia="zh-CN"/>
              </w:rPr>
              <w:t>5</w:t>
            </w:r>
            <w:r>
              <w:rPr>
                <w:rFonts w:hint="eastAsia" w:ascii="宋体" w:hAnsi="宋体" w:cs="宋体"/>
                <w:sz w:val="21"/>
                <w:szCs w:val="21"/>
                <w:highlight w:val="none"/>
              </w:rPr>
              <w:t>0</w:t>
            </w:r>
          </w:p>
        </w:tc>
        <w:tc>
          <w:tcPr>
            <w:tcW w:w="1038" w:type="dxa"/>
            <w:tcBorders>
              <w:top w:val="single" w:color="auto" w:sz="4" w:space="0"/>
              <w:left w:val="nil"/>
              <w:bottom w:val="single" w:color="auto" w:sz="4" w:space="0"/>
              <w:right w:val="single" w:color="auto" w:sz="4" w:space="0"/>
            </w:tcBorders>
            <w:shd w:val="clear" w:color="000000" w:fill="FFFFFF"/>
            <w:vAlign w:val="center"/>
          </w:tcPr>
          <w:p w14:paraId="683921EF">
            <w:pPr>
              <w:jc w:val="center"/>
              <w:rPr>
                <w:rFonts w:hint="eastAsia" w:ascii="宋体" w:hAnsi="宋体" w:cs="宋体"/>
                <w:sz w:val="21"/>
                <w:szCs w:val="21"/>
                <w:highlight w:val="yellow"/>
              </w:rPr>
            </w:pPr>
          </w:p>
        </w:tc>
      </w:tr>
      <w:tr w14:paraId="0D3FBBBA">
        <w:tblPrEx>
          <w:tblCellMar>
            <w:top w:w="0" w:type="dxa"/>
            <w:left w:w="108" w:type="dxa"/>
            <w:bottom w:w="0" w:type="dxa"/>
            <w:right w:w="108" w:type="dxa"/>
          </w:tblCellMar>
        </w:tblPrEx>
        <w:trPr>
          <w:cantSplit/>
          <w:trHeight w:val="226" w:hRule="atLeast"/>
          <w:jc w:val="center"/>
        </w:trPr>
        <w:tc>
          <w:tcPr>
            <w:tcW w:w="7751"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10524F5D">
            <w:pPr>
              <w:jc w:val="center"/>
              <w:rPr>
                <w:rFonts w:hint="eastAsia" w:ascii="宋体" w:hAnsi="宋体" w:eastAsia="宋体" w:cs="宋体"/>
                <w:sz w:val="21"/>
                <w:szCs w:val="21"/>
                <w:highlight w:val="none"/>
                <w:lang w:eastAsia="zh-CN"/>
              </w:rPr>
            </w:pPr>
            <w:r>
              <w:rPr>
                <w:rFonts w:hint="eastAsia" w:ascii="宋体" w:hAnsi="宋体" w:cs="宋体"/>
                <w:b/>
                <w:bCs/>
                <w:sz w:val="21"/>
                <w:szCs w:val="21"/>
                <w:highlight w:val="none"/>
                <w:lang w:val="en-US" w:eastAsia="zh-CN"/>
              </w:rPr>
              <w:t>合计</w:t>
            </w:r>
          </w:p>
        </w:tc>
        <w:tc>
          <w:tcPr>
            <w:tcW w:w="837" w:type="dxa"/>
            <w:tcBorders>
              <w:top w:val="single" w:color="auto" w:sz="4" w:space="0"/>
              <w:left w:val="single" w:color="auto" w:sz="4" w:space="0"/>
              <w:bottom w:val="single" w:color="auto" w:sz="4" w:space="0"/>
              <w:right w:val="single" w:color="auto" w:sz="4" w:space="0"/>
            </w:tcBorders>
            <w:shd w:val="clear" w:color="000000" w:fill="FFFFFF"/>
            <w:vAlign w:val="center"/>
          </w:tcPr>
          <w:p w14:paraId="281E68F5">
            <w:pPr>
              <w:jc w:val="center"/>
              <w:rPr>
                <w:rFonts w:hint="eastAsia" w:ascii="宋体" w:hAnsi="宋体" w:eastAsia="宋体" w:cs="宋体"/>
                <w:sz w:val="21"/>
                <w:szCs w:val="21"/>
                <w:highlight w:val="none"/>
                <w:lang w:val="en-US" w:eastAsia="zh-CN"/>
              </w:rPr>
            </w:pPr>
            <w:r>
              <w:rPr>
                <w:rFonts w:hint="eastAsia" w:ascii="宋体" w:hAnsi="宋体" w:cs="宋体"/>
                <w:b/>
                <w:bCs/>
                <w:sz w:val="21"/>
                <w:szCs w:val="21"/>
                <w:highlight w:val="none"/>
                <w:lang w:val="en-US" w:eastAsia="zh-CN"/>
              </w:rPr>
              <w:t>100</w:t>
            </w:r>
          </w:p>
        </w:tc>
        <w:tc>
          <w:tcPr>
            <w:tcW w:w="1038" w:type="dxa"/>
            <w:tcBorders>
              <w:top w:val="single" w:color="auto" w:sz="4" w:space="0"/>
              <w:left w:val="single" w:color="auto" w:sz="4" w:space="0"/>
              <w:bottom w:val="single" w:color="auto" w:sz="4" w:space="0"/>
              <w:right w:val="single" w:color="auto" w:sz="4" w:space="0"/>
            </w:tcBorders>
            <w:shd w:val="clear" w:color="000000" w:fill="FFFFFF"/>
            <w:vAlign w:val="center"/>
          </w:tcPr>
          <w:p w14:paraId="44D83F95">
            <w:pPr>
              <w:jc w:val="center"/>
              <w:rPr>
                <w:rFonts w:hint="eastAsia" w:ascii="宋体" w:hAnsi="宋体" w:cs="宋体"/>
                <w:sz w:val="21"/>
                <w:szCs w:val="21"/>
                <w:highlight w:val="yellow"/>
              </w:rPr>
            </w:pPr>
          </w:p>
        </w:tc>
      </w:tr>
    </w:tbl>
    <w:p w14:paraId="11C443D3">
      <w:pPr>
        <w:spacing w:line="440" w:lineRule="exact"/>
        <w:jc w:val="both"/>
        <w:rPr>
          <w:rFonts w:hint="eastAsia" w:ascii="宋体" w:hAnsi="宋体" w:cs="宋体"/>
          <w:b/>
          <w:snapToGrid w:val="0"/>
          <w:spacing w:val="8"/>
          <w:sz w:val="28"/>
          <w:szCs w:val="28"/>
        </w:rPr>
      </w:pPr>
    </w:p>
    <w:p w14:paraId="48CCF07B">
      <w:pPr>
        <w:spacing w:line="440" w:lineRule="exact"/>
        <w:jc w:val="both"/>
        <w:rPr>
          <w:rFonts w:hint="eastAsia" w:ascii="宋体" w:hAnsi="宋体" w:cs="宋体"/>
          <w:b/>
          <w:snapToGrid w:val="0"/>
          <w:spacing w:val="8"/>
          <w:sz w:val="28"/>
          <w:szCs w:val="28"/>
        </w:rPr>
      </w:pPr>
    </w:p>
    <w:p w14:paraId="7627292D">
      <w:pPr>
        <w:pStyle w:val="9"/>
        <w:rPr>
          <w:rFonts w:hint="eastAsia" w:ascii="宋体" w:hAnsi="宋体" w:cs="宋体"/>
          <w:b/>
          <w:snapToGrid w:val="0"/>
          <w:spacing w:val="8"/>
          <w:sz w:val="28"/>
          <w:szCs w:val="28"/>
        </w:rPr>
      </w:pPr>
    </w:p>
    <w:p w14:paraId="750EE4E9">
      <w:pPr>
        <w:spacing w:beforeLines="50" w:afterLines="50"/>
        <w:jc w:val="both"/>
        <w:rPr>
          <w:rFonts w:ascii="宋体" w:hAnsi="宋体" w:cs="宋体"/>
        </w:rPr>
      </w:pPr>
    </w:p>
    <w:p w14:paraId="1D54946D"/>
    <w:sectPr>
      <w:headerReference r:id="rId3" w:type="default"/>
      <w:footerReference r:id="rId4" w:type="default"/>
      <w:footerReference r:id="rId5" w:type="even"/>
      <w:pgSz w:w="11907" w:h="16840"/>
      <w:pgMar w:top="1531" w:right="1418" w:bottom="1361" w:left="1418"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2F40C">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6129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a:effectLst/>
                    </wps:spPr>
                    <wps:txbx>
                      <w:txbxContent>
                        <w:p w14:paraId="25D75CA6">
                          <w:pPr>
                            <w:pStyle w:val="6"/>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2.7pt;width:10pt;mso-position-horizontal:center;mso-position-horizontal-relative:margin;mso-wrap-style:none;z-index:251659264;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hKWO9EAAAADAQAADwAAAAAAAAABACAAAAAiAAAAZHJzL2Rvd25yZXYueG1sUEsB&#10;AhQAFAAAAAgAh07iQJYc/NI1AgAAYQQAAA4AAAAAAAAAAQAgAAAAIAEAAGRycy9lMm9Eb2MueG1s&#10;UEsFBgAAAAAGAAYAWQEAAMcFAAAAAA==&#10;">
              <v:fill on="f" focussize="0,0"/>
              <v:stroke on="f" weight="0.5pt"/>
              <v:imagedata o:title=""/>
              <o:lock v:ext="edit" aspectratio="f"/>
              <v:textbox inset="0mm,0mm,0mm,0mm" style="mso-fit-shape-to-text:t;">
                <w:txbxContent>
                  <w:p w14:paraId="25D75CA6">
                    <w:pPr>
                      <w:pStyle w:val="6"/>
                    </w:pPr>
                    <w:r>
                      <w:fldChar w:fldCharType="begin"/>
                    </w:r>
                    <w:r>
                      <w:instrText xml:space="preserve"> PAGE  \* MERGEFORMAT </w:instrText>
                    </w:r>
                    <w:r>
                      <w:fldChar w:fldCharType="separate"/>
                    </w:r>
                    <w:r>
                      <w:t>47</w:t>
                    </w:r>
                    <w:r>
                      <w:fldChar w:fldCharType="end"/>
                    </w:r>
                  </w:p>
                </w:txbxContent>
              </v:textbox>
            </v:shape>
          </w:pict>
        </mc:Fallback>
      </mc:AlternateContent>
    </w:r>
  </w:p>
  <w:p w14:paraId="682D0096">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034">
    <w:pPr>
      <w:pStyle w:val="6"/>
      <w:framePr w:wrap="around" w:vAnchor="text" w:hAnchor="margin" w:xAlign="right" w:y="1"/>
      <w:rPr>
        <w:rStyle w:val="12"/>
      </w:rPr>
    </w:pPr>
    <w:r>
      <w:fldChar w:fldCharType="begin"/>
    </w:r>
    <w:r>
      <w:rPr>
        <w:rStyle w:val="12"/>
      </w:rPr>
      <w:instrText xml:space="preserve">PAGE  </w:instrText>
    </w:r>
    <w:r>
      <w:fldChar w:fldCharType="separate"/>
    </w:r>
    <w:r>
      <w:rPr>
        <w:rStyle w:val="12"/>
      </w:rPr>
      <w:t>58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4432">
    <w:pPr>
      <w:pStyle w:val="7"/>
      <w:jc w:val="right"/>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38205D0A"/>
    <w:rsid w:val="01A8715C"/>
    <w:rsid w:val="03EC0347"/>
    <w:rsid w:val="06D06525"/>
    <w:rsid w:val="09235565"/>
    <w:rsid w:val="0A8635B7"/>
    <w:rsid w:val="0ACF1724"/>
    <w:rsid w:val="12236ED6"/>
    <w:rsid w:val="141F6E0F"/>
    <w:rsid w:val="1C79747E"/>
    <w:rsid w:val="321E77E6"/>
    <w:rsid w:val="34CA51FE"/>
    <w:rsid w:val="365E663F"/>
    <w:rsid w:val="38205D0A"/>
    <w:rsid w:val="3CC713B8"/>
    <w:rsid w:val="4F4206AE"/>
    <w:rsid w:val="55C94BA2"/>
    <w:rsid w:val="5FE84D2D"/>
    <w:rsid w:val="68726FBB"/>
    <w:rsid w:val="691E3745"/>
    <w:rsid w:val="6967470C"/>
    <w:rsid w:val="79F90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Calibri" w:hAnsi="Calibri" w:cstheme="minorBidi"/>
      <w:kern w:val="2"/>
      <w:sz w:val="21"/>
      <w:szCs w:val="22"/>
    </w:rPr>
  </w:style>
  <w:style w:type="paragraph" w:styleId="3">
    <w:name w:val="table of authorities"/>
    <w:basedOn w:val="1"/>
    <w:next w:val="1"/>
    <w:unhideWhenUsed/>
    <w:qFormat/>
    <w:uiPriority w:val="99"/>
    <w:pPr>
      <w:ind w:left="420" w:leftChars="200"/>
    </w:pPr>
    <w:rPr>
      <w:rFonts w:ascii="Calibri" w:hAnsi="Calibri"/>
    </w:rPr>
  </w:style>
  <w:style w:type="paragraph" w:styleId="4">
    <w:name w:val="Normal Indent"/>
    <w:basedOn w:val="1"/>
    <w:qFormat/>
    <w:uiPriority w:val="99"/>
    <w:pPr>
      <w:ind w:firstLine="420" w:firstLineChars="200"/>
    </w:pPr>
    <w:rPr>
      <w:rFonts w:asciiTheme="minorHAnsi" w:hAnsiTheme="minorHAnsi" w:cstheme="minorBidi"/>
      <w:kern w:val="2"/>
      <w:sz w:val="21"/>
    </w:rPr>
  </w:style>
  <w:style w:type="paragraph" w:styleId="5">
    <w:name w:val="annotation text"/>
    <w:basedOn w:val="1"/>
    <w:qFormat/>
    <w:uiPriority w:val="0"/>
    <w:pPr>
      <w:jc w:val="left"/>
    </w:pPr>
  </w:style>
  <w:style w:type="paragraph" w:styleId="6">
    <w:name w:val="footer"/>
    <w:basedOn w:val="1"/>
    <w:qFormat/>
    <w:uiPriority w:val="99"/>
    <w:pPr>
      <w:tabs>
        <w:tab w:val="center" w:pos="4153"/>
        <w:tab w:val="right" w:pos="8306"/>
      </w:tabs>
      <w:snapToGrid w:val="0"/>
    </w:pPr>
    <w:rPr>
      <w:rFonts w:asciiTheme="minorHAnsi" w:hAnsiTheme="minorHAnsi" w:cstheme="minorBidi"/>
      <w:kern w:val="2"/>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8">
    <w:name w:val="Normal (Web)"/>
    <w:basedOn w:val="1"/>
    <w:next w:val="9"/>
    <w:qFormat/>
    <w:uiPriority w:val="0"/>
    <w:rPr>
      <w:rFonts w:hint="eastAsia" w:ascii="宋体" w:hAnsi="宋体"/>
      <w:szCs w:val="20"/>
    </w:rPr>
  </w:style>
  <w:style w:type="paragraph" w:customStyle="1" w:styleId="9">
    <w:name w:val="正文-公1"/>
    <w:basedOn w:val="1"/>
    <w:next w:val="8"/>
    <w:qFormat/>
    <w:uiPriority w:val="99"/>
    <w:rPr>
      <w:color w:val="000000"/>
    </w:rPr>
  </w:style>
  <w:style w:type="character" w:styleId="12">
    <w:name w:val="page number"/>
    <w:qFormat/>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1095</Words>
  <Characters>1157</Characters>
  <Lines>0</Lines>
  <Paragraphs>0</Paragraphs>
  <TotalTime>2</TotalTime>
  <ScaleCrop>false</ScaleCrop>
  <LinksUpToDate>false</LinksUpToDate>
  <CharactersWithSpaces>1202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2024-07-24T03:11:00Z</dcterms:created>
  <dc:creator>cj</dc:creator>
  <cp:lastModifiedBy>sunshine701</cp:lastModifiedBy>
  <dcterms:modified xsi:type="dcterms:W3CDTF">2024-07-29T07:46:57Z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3B125823E2DF46E9AA220E19AB0206D2_13</vt:lpwstr>
  </property>
</Properties>
</file>