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C72477">
      <w:pPr>
        <w:pStyle w:val="12"/>
        <w:shd w:val="clear"/>
        <w:jc w:val="both"/>
        <w:rPr>
          <w:rFonts w:hint="eastAsia" w:ascii="宋体" w:hAnsi="宋体" w:cs="宋体"/>
          <w:color w:val="auto"/>
          <w:highlight w:val="none"/>
        </w:rPr>
      </w:pPr>
      <w:bookmarkStart w:id="0" w:name="_Toc437426663"/>
      <w:bookmarkStart w:id="1" w:name="_Toc417562367"/>
      <w:r>
        <w:rPr>
          <w:rFonts w:hint="eastAsia" w:ascii="宋体" w:hAnsi="宋体" w:cs="宋体"/>
          <w:color w:val="auto"/>
          <w:highlight w:val="none"/>
        </w:rPr>
        <w:drawing>
          <wp:inline distT="0" distB="0" distL="0" distR="0">
            <wp:extent cx="1257300" cy="12096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257300" cy="1209675"/>
                    </a:xfrm>
                    <a:prstGeom prst="rect">
                      <a:avLst/>
                    </a:prstGeom>
                    <a:noFill/>
                    <a:ln>
                      <a:noFill/>
                    </a:ln>
                  </pic:spPr>
                </pic:pic>
              </a:graphicData>
            </a:graphic>
          </wp:inline>
        </w:drawing>
      </w:r>
      <w:bookmarkEnd w:id="0"/>
      <w:bookmarkEnd w:id="1"/>
    </w:p>
    <w:p w14:paraId="395AC64F">
      <w:pPr>
        <w:pStyle w:val="12"/>
        <w:shd w:val="clear"/>
        <w:jc w:val="center"/>
        <w:rPr>
          <w:rFonts w:hint="eastAsia" w:ascii="宋体" w:hAnsi="宋体" w:cs="宋体"/>
          <w:b/>
          <w:color w:val="auto"/>
          <w:spacing w:val="20"/>
          <w:sz w:val="44"/>
          <w:szCs w:val="44"/>
          <w:highlight w:val="none"/>
          <w:lang w:eastAsia="zh-CN"/>
        </w:rPr>
      </w:pPr>
    </w:p>
    <w:p w14:paraId="1E4BB2EF">
      <w:pPr>
        <w:pStyle w:val="12"/>
        <w:shd w:val="clear"/>
        <w:spacing w:line="360" w:lineRule="auto"/>
        <w:ind w:firstLine="0" w:firstLineChars="0"/>
        <w:jc w:val="center"/>
        <w:rPr>
          <w:rFonts w:hint="eastAsia" w:eastAsia="宋体"/>
          <w:color w:val="auto"/>
          <w:highlight w:val="none"/>
          <w:lang w:eastAsia="zh-CN"/>
        </w:rPr>
      </w:pPr>
      <w:r>
        <w:rPr>
          <w:rFonts w:hint="eastAsia" w:ascii="宋体" w:hAnsi="宋体" w:cs="宋体"/>
          <w:color w:val="auto"/>
          <w:sz w:val="44"/>
          <w:szCs w:val="44"/>
          <w:highlight w:val="none"/>
          <w:u w:val="none"/>
          <w:lang w:eastAsia="zh-CN"/>
        </w:rPr>
        <w:t>贵州阳光产权交易所有限公司关于毕节市某股权转让项目选择可行性研究报告技术支持服务机构</w:t>
      </w:r>
    </w:p>
    <w:p w14:paraId="6D1F1A66">
      <w:pPr>
        <w:shd w:val="clear"/>
        <w:rPr>
          <w:color w:val="auto"/>
          <w:highlight w:val="none"/>
        </w:rPr>
      </w:pPr>
    </w:p>
    <w:p w14:paraId="4900A23C">
      <w:pPr>
        <w:shd w:val="clear"/>
        <w:rPr>
          <w:color w:val="auto"/>
          <w:highlight w:val="none"/>
        </w:rPr>
      </w:pPr>
    </w:p>
    <w:p w14:paraId="7D76D36C">
      <w:pPr>
        <w:shd w:val="clear"/>
        <w:rPr>
          <w:color w:val="auto"/>
          <w:highlight w:val="none"/>
        </w:rPr>
      </w:pPr>
    </w:p>
    <w:p w14:paraId="72F84EED">
      <w:pPr>
        <w:shd w:val="clear"/>
        <w:spacing w:line="360" w:lineRule="auto"/>
        <w:rPr>
          <w:color w:val="auto"/>
          <w:highlight w:val="none"/>
        </w:rPr>
      </w:pPr>
    </w:p>
    <w:p w14:paraId="73E000E2">
      <w:pPr>
        <w:widowControl w:val="0"/>
        <w:shd w:val="clear"/>
        <w:spacing w:beforeLines="50" w:afterLines="50" w:line="360" w:lineRule="auto"/>
        <w:jc w:val="center"/>
        <w:rPr>
          <w:rFonts w:ascii="宋体" w:hAnsi="宋体" w:cs="宋体"/>
          <w:b/>
          <w:color w:val="auto"/>
          <w:spacing w:val="20"/>
          <w:sz w:val="44"/>
          <w:szCs w:val="44"/>
          <w:highlight w:val="none"/>
        </w:rPr>
      </w:pPr>
      <w:r>
        <w:rPr>
          <w:rFonts w:hint="eastAsia" w:ascii="宋体" w:hAnsi="宋体" w:cs="宋体"/>
          <w:b/>
          <w:color w:val="auto"/>
          <w:spacing w:val="20"/>
          <w:sz w:val="44"/>
          <w:szCs w:val="44"/>
          <w:highlight w:val="none"/>
        </w:rPr>
        <w:t>比 选 文 件</w:t>
      </w:r>
    </w:p>
    <w:p w14:paraId="73E4A2A8">
      <w:pPr>
        <w:widowControl w:val="0"/>
        <w:shd w:val="clear"/>
        <w:spacing w:beforeLines="50" w:afterLines="50" w:line="360" w:lineRule="auto"/>
        <w:jc w:val="center"/>
        <w:rPr>
          <w:rFonts w:ascii="宋体" w:hAnsi="宋体" w:cs="宋体"/>
          <w:b/>
          <w:color w:val="auto"/>
          <w:spacing w:val="20"/>
          <w:sz w:val="44"/>
          <w:szCs w:val="44"/>
          <w:highlight w:val="none"/>
        </w:rPr>
      </w:pPr>
    </w:p>
    <w:p w14:paraId="74D78183">
      <w:pPr>
        <w:pStyle w:val="12"/>
        <w:widowControl w:val="0"/>
        <w:shd w:val="clear"/>
        <w:spacing w:line="360" w:lineRule="auto"/>
        <w:ind w:left="0" w:leftChars="0" w:firstLine="0" w:firstLineChars="0"/>
        <w:rPr>
          <w:rFonts w:ascii="宋体" w:hAnsi="宋体" w:cs="宋体"/>
          <w:color w:val="auto"/>
          <w:highlight w:val="none"/>
        </w:rPr>
      </w:pPr>
      <w:bookmarkStart w:id="2" w:name="_Toc152042286"/>
      <w:bookmarkStart w:id="3" w:name="_Toc144974478"/>
    </w:p>
    <w:p w14:paraId="4C3D7F1B">
      <w:pPr>
        <w:pStyle w:val="12"/>
        <w:shd w:val="clear"/>
        <w:spacing w:line="360" w:lineRule="auto"/>
        <w:rPr>
          <w:color w:val="auto"/>
          <w:highlight w:val="none"/>
        </w:rPr>
      </w:pPr>
    </w:p>
    <w:p w14:paraId="5C86D6C7">
      <w:pPr>
        <w:shd w:val="clear"/>
        <w:spacing w:line="360" w:lineRule="auto"/>
        <w:ind w:left="1400" w:hanging="1400" w:hangingChars="500"/>
        <w:rPr>
          <w:rFonts w:hint="eastAsia" w:ascii="宋体" w:hAnsi="宋体" w:eastAsia="宋体" w:cs="宋体"/>
          <w:color w:val="auto"/>
          <w:sz w:val="28"/>
          <w:szCs w:val="28"/>
          <w:highlight w:val="none"/>
          <w:u w:val="single"/>
          <w:lang w:eastAsia="zh-CN"/>
        </w:rPr>
      </w:pPr>
      <w:r>
        <w:rPr>
          <w:rFonts w:hint="eastAsia" w:ascii="宋体" w:hAnsi="宋体" w:cs="宋体"/>
          <w:color w:val="auto"/>
          <w:sz w:val="28"/>
          <w:szCs w:val="28"/>
          <w:highlight w:val="none"/>
        </w:rPr>
        <w:t>项目名称：</w:t>
      </w:r>
      <w:r>
        <w:rPr>
          <w:rFonts w:hint="eastAsia" w:ascii="宋体" w:hAnsi="宋体" w:cs="宋体"/>
          <w:color w:val="auto"/>
          <w:sz w:val="28"/>
          <w:szCs w:val="28"/>
          <w:highlight w:val="none"/>
          <w:u w:val="single"/>
          <w:lang w:eastAsia="zh-CN"/>
        </w:rPr>
        <w:t>贵州阳光产权交易所有限公司关于毕节市某股权转让项目选择可行性研究报告技术支持服务机构</w:t>
      </w:r>
    </w:p>
    <w:p w14:paraId="3B3491DF">
      <w:pPr>
        <w:shd w:val="clear"/>
        <w:spacing w:line="360" w:lineRule="auto"/>
        <w:rPr>
          <w:rFonts w:hint="eastAsia" w:ascii="宋体" w:hAnsi="宋体" w:cs="宋体"/>
          <w:color w:val="auto"/>
          <w:sz w:val="28"/>
          <w:szCs w:val="28"/>
          <w:highlight w:val="none"/>
          <w:u w:val="single"/>
          <w:lang w:eastAsia="zh-CN"/>
        </w:rPr>
      </w:pPr>
      <w:r>
        <w:rPr>
          <w:rFonts w:hint="eastAsia" w:ascii="宋体" w:hAnsi="宋体" w:cs="宋体"/>
          <w:color w:val="auto"/>
          <w:sz w:val="28"/>
          <w:szCs w:val="28"/>
          <w:highlight w:val="none"/>
        </w:rPr>
        <w:t>项目编号：</w:t>
      </w:r>
      <w:r>
        <w:rPr>
          <w:rFonts w:hint="eastAsia" w:ascii="宋体" w:hAnsi="宋体" w:cs="宋体"/>
          <w:color w:val="auto"/>
          <w:sz w:val="28"/>
          <w:szCs w:val="28"/>
          <w:highlight w:val="none"/>
          <w:u w:val="single"/>
          <w:lang w:eastAsia="zh-CN"/>
        </w:rPr>
        <w:t>ZHB-2025-</w:t>
      </w:r>
      <w:r>
        <w:rPr>
          <w:rFonts w:hint="eastAsia" w:ascii="宋体" w:hAnsi="宋体" w:cs="宋体"/>
          <w:color w:val="auto"/>
          <w:sz w:val="28"/>
          <w:szCs w:val="28"/>
          <w:highlight w:val="none"/>
          <w:u w:val="single"/>
          <w:lang w:val="en-US" w:eastAsia="zh-CN"/>
        </w:rPr>
        <w:t>2</w:t>
      </w:r>
      <w:r>
        <w:rPr>
          <w:rFonts w:hint="eastAsia" w:ascii="宋体" w:hAnsi="宋体" w:cs="宋体"/>
          <w:color w:val="auto"/>
          <w:sz w:val="28"/>
          <w:szCs w:val="28"/>
          <w:highlight w:val="none"/>
          <w:u w:val="single"/>
          <w:lang w:eastAsia="zh-CN"/>
        </w:rPr>
        <w:t>-比</w:t>
      </w:r>
    </w:p>
    <w:p w14:paraId="623D1C55">
      <w:pPr>
        <w:pageBreakBefore w:val="0"/>
        <w:widowControl/>
        <w:shd w:val="clear"/>
        <w:kinsoku/>
        <w:wordWrap/>
        <w:overflowPunct/>
        <w:topLinePunct w:val="0"/>
        <w:autoSpaceDE/>
        <w:autoSpaceDN/>
        <w:bidi w:val="0"/>
        <w:adjustRightInd/>
        <w:snapToGrid/>
        <w:spacing w:line="360" w:lineRule="auto"/>
        <w:textAlignment w:val="auto"/>
        <w:rPr>
          <w:rFonts w:hint="eastAsia" w:ascii="宋体" w:hAnsi="宋体" w:cs="宋体"/>
          <w:color w:val="auto"/>
          <w:sz w:val="28"/>
          <w:szCs w:val="28"/>
          <w:highlight w:val="none"/>
          <w:u w:val="single"/>
          <w:lang w:val="en-US" w:eastAsia="zh-CN"/>
        </w:rPr>
      </w:pPr>
      <w:r>
        <w:rPr>
          <w:rFonts w:hint="eastAsia" w:ascii="宋体" w:hAnsi="宋体" w:cs="宋体"/>
          <w:color w:val="auto"/>
          <w:sz w:val="28"/>
          <w:szCs w:val="28"/>
          <w:highlight w:val="none"/>
        </w:rPr>
        <w:t>比 选 人：</w:t>
      </w:r>
      <w:r>
        <w:rPr>
          <w:rFonts w:hint="eastAsia" w:ascii="宋体" w:hAnsi="宋体" w:cs="宋体"/>
          <w:color w:val="auto"/>
          <w:sz w:val="28"/>
          <w:szCs w:val="28"/>
          <w:highlight w:val="none"/>
          <w:u w:val="single"/>
        </w:rPr>
        <w:t>贵州阳光产权交易所有限公司</w:t>
      </w:r>
    </w:p>
    <w:p w14:paraId="7F27412B">
      <w:pPr>
        <w:pageBreakBefore w:val="0"/>
        <w:widowControl/>
        <w:shd w:val="clear"/>
        <w:kinsoku/>
        <w:wordWrap/>
        <w:overflowPunct/>
        <w:topLinePunct w:val="0"/>
        <w:autoSpaceDE/>
        <w:autoSpaceDN/>
        <w:bidi w:val="0"/>
        <w:adjustRightInd/>
        <w:snapToGrid/>
        <w:spacing w:line="360" w:lineRule="auto"/>
        <w:textAlignment w:val="auto"/>
        <w:rPr>
          <w:rFonts w:ascii="宋体" w:hAnsi="宋体" w:cs="宋体"/>
          <w:color w:val="auto"/>
          <w:sz w:val="28"/>
          <w:szCs w:val="28"/>
          <w:highlight w:val="none"/>
          <w:u w:val="single"/>
        </w:rPr>
      </w:pPr>
    </w:p>
    <w:p w14:paraId="58AC26AA">
      <w:pPr>
        <w:shd w:val="clear"/>
        <w:spacing w:line="360" w:lineRule="auto"/>
        <w:ind w:firstLine="1400" w:firstLineChars="500"/>
        <w:rPr>
          <w:rFonts w:ascii="宋体" w:hAnsi="宋体" w:cs="宋体"/>
          <w:color w:val="auto"/>
          <w:sz w:val="28"/>
          <w:szCs w:val="28"/>
          <w:highlight w:val="none"/>
          <w:u w:val="single"/>
        </w:rPr>
      </w:pPr>
    </w:p>
    <w:p w14:paraId="238A3831">
      <w:pPr>
        <w:pStyle w:val="12"/>
        <w:shd w:val="clear"/>
        <w:rPr>
          <w:highlight w:val="none"/>
        </w:rPr>
      </w:pPr>
    </w:p>
    <w:p w14:paraId="773CC8F9">
      <w:pPr>
        <w:shd w:val="clear"/>
        <w:spacing w:line="360" w:lineRule="auto"/>
        <w:ind w:firstLine="3080" w:firstLineChars="1100"/>
        <w:rPr>
          <w:rFonts w:ascii="宋体" w:hAnsi="宋体" w:cs="宋体"/>
          <w:color w:val="auto"/>
          <w:sz w:val="28"/>
          <w:szCs w:val="28"/>
          <w:highlight w:val="none"/>
          <w:u w:val="single"/>
        </w:rPr>
      </w:pPr>
      <w:r>
        <w:rPr>
          <w:rFonts w:hint="eastAsia" w:ascii="宋体" w:hAnsi="宋体" w:cs="宋体"/>
          <w:color w:val="auto"/>
          <w:sz w:val="28"/>
          <w:szCs w:val="28"/>
          <w:highlight w:val="none"/>
        </w:rPr>
        <w:t>202</w:t>
      </w:r>
      <w:r>
        <w:rPr>
          <w:rFonts w:hint="eastAsia" w:ascii="宋体" w:hAnsi="宋体" w:cs="宋体"/>
          <w:color w:val="auto"/>
          <w:sz w:val="28"/>
          <w:szCs w:val="28"/>
          <w:highlight w:val="none"/>
          <w:lang w:val="en-US" w:eastAsia="zh-CN"/>
        </w:rPr>
        <w:t>5</w:t>
      </w:r>
      <w:r>
        <w:rPr>
          <w:rFonts w:hint="eastAsia" w:ascii="宋体" w:hAnsi="宋体" w:cs="宋体"/>
          <w:color w:val="auto"/>
          <w:sz w:val="28"/>
          <w:szCs w:val="28"/>
          <w:highlight w:val="none"/>
        </w:rPr>
        <w:t>年</w:t>
      </w:r>
      <w:r>
        <w:rPr>
          <w:rFonts w:hint="eastAsia" w:ascii="宋体" w:hAnsi="宋体" w:cs="宋体"/>
          <w:color w:val="auto"/>
          <w:sz w:val="28"/>
          <w:szCs w:val="28"/>
          <w:highlight w:val="none"/>
          <w:lang w:val="en-US" w:eastAsia="zh-CN"/>
        </w:rPr>
        <w:t>4</w:t>
      </w:r>
      <w:r>
        <w:rPr>
          <w:rFonts w:hint="eastAsia" w:ascii="宋体" w:hAnsi="宋体" w:cs="宋体"/>
          <w:color w:val="auto"/>
          <w:sz w:val="28"/>
          <w:szCs w:val="28"/>
          <w:highlight w:val="none"/>
        </w:rPr>
        <w:t>月</w:t>
      </w:r>
    </w:p>
    <w:p w14:paraId="40C38800">
      <w:pPr>
        <w:shd w:val="clear"/>
        <w:spacing w:line="360" w:lineRule="auto"/>
        <w:rPr>
          <w:rFonts w:ascii="宋体" w:hAnsi="宋体" w:cs="宋体"/>
          <w:b/>
          <w:color w:val="auto"/>
          <w:kern w:val="2"/>
          <w:sz w:val="32"/>
          <w:szCs w:val="32"/>
          <w:highlight w:val="none"/>
        </w:rPr>
      </w:pPr>
      <w:r>
        <w:rPr>
          <w:rFonts w:hAnsi="宋体" w:cs="宋体"/>
          <w:b/>
          <w:color w:val="auto"/>
          <w:sz w:val="32"/>
          <w:szCs w:val="32"/>
          <w:highlight w:val="none"/>
        </w:rPr>
        <w:br w:type="page"/>
      </w:r>
    </w:p>
    <w:p w14:paraId="0F3ECD44">
      <w:pPr>
        <w:pStyle w:val="19"/>
        <w:widowControl w:val="0"/>
        <w:shd w:val="clear"/>
        <w:tabs>
          <w:tab w:val="left" w:pos="3030"/>
        </w:tabs>
        <w:spacing w:line="360" w:lineRule="auto"/>
        <w:jc w:val="center"/>
        <w:rPr>
          <w:rFonts w:hint="eastAsia" w:hAnsi="宋体" w:cs="宋体"/>
          <w:b/>
          <w:color w:val="auto"/>
          <w:sz w:val="32"/>
          <w:szCs w:val="32"/>
          <w:highlight w:val="none"/>
        </w:rPr>
      </w:pPr>
      <w:r>
        <w:rPr>
          <w:rFonts w:hint="eastAsia" w:ascii="宋体" w:hAnsi="宋体" w:cs="宋体"/>
          <w:b/>
          <w:color w:val="auto"/>
          <w:sz w:val="32"/>
          <w:szCs w:val="32"/>
          <w:highlight w:val="none"/>
          <w:lang w:val="en-US" w:eastAsia="zh-CN"/>
        </w:rPr>
        <w:t>采购</w:t>
      </w:r>
      <w:r>
        <w:rPr>
          <w:rFonts w:hint="eastAsia" w:ascii="宋体" w:hAnsi="宋体" w:cs="宋体"/>
          <w:b/>
          <w:color w:val="auto"/>
          <w:sz w:val="32"/>
          <w:szCs w:val="32"/>
          <w:highlight w:val="none"/>
        </w:rPr>
        <w:t>人</w:t>
      </w:r>
    </w:p>
    <w:p w14:paraId="098EDA45">
      <w:pPr>
        <w:keepNext w:val="0"/>
        <w:keepLines w:val="0"/>
        <w:pageBreakBefore w:val="0"/>
        <w:widowControl/>
        <w:shd w:val="clear"/>
        <w:kinsoku/>
        <w:wordWrap/>
        <w:overflowPunct/>
        <w:topLinePunct w:val="0"/>
        <w:autoSpaceDE/>
        <w:autoSpaceDN/>
        <w:bidi w:val="0"/>
        <w:adjustRightInd w:val="0"/>
        <w:snapToGrid w:val="0"/>
        <w:spacing w:line="360" w:lineRule="auto"/>
        <w:ind w:left="0" w:firstLine="480"/>
        <w:textAlignment w:val="auto"/>
        <w:outlineLvl w:val="9"/>
        <w:rPr>
          <w:rFonts w:hint="eastAsia" w:ascii="宋体" w:hAnsi="宋体" w:eastAsia="宋体" w:cs="宋体"/>
          <w:color w:val="000000" w:themeColor="text1"/>
          <w:highlight w:val="none"/>
          <w:lang w:val="en-US" w:eastAsia="zh-CN"/>
          <w14:textFill>
            <w14:solidFill>
              <w14:schemeClr w14:val="tx1"/>
            </w14:solidFill>
          </w14:textFill>
        </w:rPr>
      </w:pPr>
    </w:p>
    <w:p w14:paraId="380D7029">
      <w:pPr>
        <w:keepNext w:val="0"/>
        <w:keepLines w:val="0"/>
        <w:pageBreakBefore w:val="0"/>
        <w:widowControl/>
        <w:shd w:val="clear"/>
        <w:kinsoku/>
        <w:wordWrap/>
        <w:overflowPunct/>
        <w:topLinePunct w:val="0"/>
        <w:autoSpaceDE/>
        <w:autoSpaceDN/>
        <w:bidi w:val="0"/>
        <w:adjustRightInd w:val="0"/>
        <w:snapToGrid w:val="0"/>
        <w:spacing w:line="360" w:lineRule="auto"/>
        <w:ind w:left="0" w:firstLine="480"/>
        <w:textAlignment w:val="auto"/>
        <w:outlineLvl w:val="9"/>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比 选 人：贵州阳光产权交易所有限公司</w:t>
      </w:r>
    </w:p>
    <w:p w14:paraId="681B2153">
      <w:pPr>
        <w:keepNext w:val="0"/>
        <w:keepLines w:val="0"/>
        <w:pageBreakBefore w:val="0"/>
        <w:widowControl/>
        <w:shd w:val="clear"/>
        <w:kinsoku/>
        <w:wordWrap/>
        <w:overflowPunct/>
        <w:topLinePunct w:val="0"/>
        <w:autoSpaceDE/>
        <w:autoSpaceDN/>
        <w:bidi w:val="0"/>
        <w:adjustRightInd w:val="0"/>
        <w:snapToGrid w:val="0"/>
        <w:spacing w:line="360" w:lineRule="auto"/>
        <w:ind w:left="0" w:firstLine="480"/>
        <w:textAlignment w:val="auto"/>
        <w:outlineLvl w:val="9"/>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联 系 人：</w:t>
      </w:r>
      <w:r>
        <w:rPr>
          <w:rFonts w:hint="eastAsia" w:ascii="宋体" w:hAnsi="宋体" w:cs="宋体"/>
          <w:color w:val="000000" w:themeColor="text1"/>
          <w:highlight w:val="none"/>
          <w:lang w:val="en-US" w:eastAsia="zh-CN"/>
          <w14:textFill>
            <w14:solidFill>
              <w14:schemeClr w14:val="tx1"/>
            </w14:solidFill>
          </w14:textFill>
        </w:rPr>
        <w:t xml:space="preserve">朱嘉兴、周睿豪            </w:t>
      </w:r>
    </w:p>
    <w:p w14:paraId="073CED6F">
      <w:pPr>
        <w:keepNext w:val="0"/>
        <w:keepLines w:val="0"/>
        <w:pageBreakBefore w:val="0"/>
        <w:widowControl/>
        <w:shd w:val="clear"/>
        <w:kinsoku/>
        <w:wordWrap/>
        <w:overflowPunct/>
        <w:topLinePunct w:val="0"/>
        <w:autoSpaceDE/>
        <w:autoSpaceDN/>
        <w:bidi w:val="0"/>
        <w:adjustRightInd w:val="0"/>
        <w:snapToGrid w:val="0"/>
        <w:spacing w:line="360" w:lineRule="auto"/>
        <w:ind w:left="0" w:firstLine="480"/>
        <w:textAlignment w:val="auto"/>
        <w:outlineLvl w:val="9"/>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联系电话：</w:t>
      </w:r>
      <w:r>
        <w:rPr>
          <w:rFonts w:hint="eastAsia" w:ascii="宋体" w:hAnsi="宋体" w:cs="宋体"/>
          <w:color w:val="000000" w:themeColor="text1"/>
          <w:highlight w:val="none"/>
          <w:lang w:val="en-US" w:eastAsia="zh-CN"/>
          <w14:textFill>
            <w14:solidFill>
              <w14:schemeClr w14:val="tx1"/>
            </w14:solidFill>
          </w14:textFill>
        </w:rPr>
        <w:t>0851-86790766、86793066</w:t>
      </w:r>
    </w:p>
    <w:p w14:paraId="017698F1">
      <w:pPr>
        <w:keepNext w:val="0"/>
        <w:keepLines w:val="0"/>
        <w:pageBreakBefore w:val="0"/>
        <w:widowControl/>
        <w:shd w:val="clear"/>
        <w:kinsoku/>
        <w:wordWrap/>
        <w:overflowPunct/>
        <w:topLinePunct w:val="0"/>
        <w:autoSpaceDE/>
        <w:autoSpaceDN/>
        <w:bidi w:val="0"/>
        <w:adjustRightInd w:val="0"/>
        <w:snapToGrid w:val="0"/>
        <w:spacing w:line="360" w:lineRule="auto"/>
        <w:ind w:left="0" w:firstLine="480"/>
        <w:textAlignment w:val="auto"/>
        <w:outlineLvl w:val="9"/>
        <w:rPr>
          <w:rFonts w:hint="default" w:ascii="宋体" w:hAnsi="宋体" w:eastAsia="宋体" w:cs="宋体"/>
          <w:color w:val="000000" w:themeColor="text1"/>
          <w:highlight w:val="none"/>
          <w:lang w:val="en-US" w:eastAsia="zh-CN"/>
          <w14:textFill>
            <w14:solidFill>
              <w14:schemeClr w14:val="tx1"/>
            </w14:solidFill>
          </w14:textFill>
        </w:rPr>
      </w:pPr>
    </w:p>
    <w:p w14:paraId="283F95E6">
      <w:pPr>
        <w:widowControl w:val="0"/>
        <w:shd w:val="clear"/>
        <w:spacing w:line="360" w:lineRule="auto"/>
        <w:ind w:left="240" w:leftChars="100" w:firstLine="221" w:firstLineChars="50"/>
        <w:jc w:val="center"/>
        <w:rPr>
          <w:rFonts w:hint="eastAsia" w:ascii="宋体" w:hAnsi="宋体" w:cs="宋体"/>
          <w:bCs/>
          <w:color w:val="auto"/>
          <w:sz w:val="22"/>
          <w:szCs w:val="22"/>
          <w:highlight w:val="none"/>
        </w:rPr>
      </w:pPr>
      <w:r>
        <w:rPr>
          <w:rFonts w:ascii="宋体" w:hAnsi="宋体" w:cs="宋体"/>
          <w:b/>
          <w:bCs/>
          <w:color w:val="auto"/>
          <w:sz w:val="44"/>
          <w:szCs w:val="44"/>
          <w:highlight w:val="none"/>
        </w:rPr>
        <w:br w:type="page"/>
      </w:r>
      <w:r>
        <w:rPr>
          <w:rFonts w:hint="eastAsia" w:ascii="宋体" w:hAnsi="宋体" w:cs="宋体"/>
          <w:b/>
          <w:bCs/>
          <w:color w:val="auto"/>
          <w:sz w:val="40"/>
          <w:szCs w:val="40"/>
          <w:highlight w:val="none"/>
        </w:rPr>
        <w:t>目   录</w:t>
      </w:r>
      <w:bookmarkEnd w:id="2"/>
      <w:bookmarkEnd w:id="3"/>
    </w:p>
    <w:p w14:paraId="27B11B04">
      <w:pPr>
        <w:pStyle w:val="25"/>
        <w:keepNext w:val="0"/>
        <w:keepLines w:val="0"/>
        <w:pageBreakBefore w:val="0"/>
        <w:widowControl/>
        <w:tabs>
          <w:tab w:val="right" w:leader="dot" w:pos="8307"/>
          <w:tab w:val="clear" w:pos="9061"/>
        </w:tabs>
        <w:kinsoku/>
        <w:wordWrap/>
        <w:overflowPunct/>
        <w:topLinePunct w:val="0"/>
        <w:autoSpaceDE/>
        <w:autoSpaceDN/>
        <w:bidi w:val="0"/>
        <w:adjustRightInd/>
        <w:snapToGrid/>
        <w:spacing w:beforeLines="0" w:afterLines="0" w:line="360" w:lineRule="auto"/>
        <w:ind w:left="0" w:leftChars="0"/>
        <w:textAlignment w:val="auto"/>
        <w:rPr>
          <w:sz w:val="24"/>
          <w:szCs w:val="24"/>
        </w:rPr>
      </w:pPr>
      <w:r>
        <w:rPr>
          <w:rFonts w:hint="eastAsia" w:ascii="宋体" w:hAnsi="宋体" w:cs="宋体"/>
          <w:bCs/>
          <w:color w:val="auto"/>
          <w:sz w:val="24"/>
          <w:szCs w:val="24"/>
          <w:highlight w:val="none"/>
        </w:rPr>
        <w:fldChar w:fldCharType="begin"/>
      </w:r>
      <w:r>
        <w:rPr>
          <w:rFonts w:hint="eastAsia" w:ascii="宋体" w:hAnsi="宋体" w:cs="宋体"/>
          <w:bCs/>
          <w:color w:val="auto"/>
          <w:sz w:val="24"/>
          <w:szCs w:val="24"/>
          <w:highlight w:val="none"/>
        </w:rPr>
        <w:instrText xml:space="preserve">TOC \o "1-3" \h \u </w:instrText>
      </w:r>
      <w:r>
        <w:rPr>
          <w:rFonts w:hint="eastAsia" w:ascii="宋体" w:hAnsi="宋体" w:cs="宋体"/>
          <w:bCs/>
          <w:color w:val="auto"/>
          <w:sz w:val="24"/>
          <w:szCs w:val="24"/>
          <w:highlight w:val="none"/>
        </w:rPr>
        <w:fldChar w:fldCharType="separate"/>
      </w:r>
      <w:r>
        <w:rPr>
          <w:rFonts w:hint="eastAsia" w:ascii="宋体" w:hAnsi="宋体" w:cs="宋体"/>
          <w:bCs/>
          <w:color w:val="auto"/>
          <w:sz w:val="24"/>
          <w:szCs w:val="24"/>
          <w:highlight w:val="none"/>
        </w:rPr>
        <w:fldChar w:fldCharType="begin"/>
      </w:r>
      <w:r>
        <w:rPr>
          <w:rFonts w:hint="eastAsia" w:ascii="宋体" w:hAnsi="宋体" w:cs="宋体"/>
          <w:bCs/>
          <w:sz w:val="24"/>
          <w:szCs w:val="24"/>
          <w:highlight w:val="none"/>
        </w:rPr>
        <w:instrText xml:space="preserve"> HYPERLINK \l _Toc3879 </w:instrText>
      </w:r>
      <w:r>
        <w:rPr>
          <w:rFonts w:hint="eastAsia" w:ascii="宋体" w:hAnsi="宋体" w:cs="宋体"/>
          <w:bCs/>
          <w:sz w:val="24"/>
          <w:szCs w:val="24"/>
          <w:highlight w:val="none"/>
        </w:rPr>
        <w:fldChar w:fldCharType="separate"/>
      </w:r>
      <w:r>
        <w:rPr>
          <w:rFonts w:hint="eastAsia" w:ascii="宋体" w:hAnsi="宋体" w:eastAsia="宋体" w:cs="宋体"/>
          <w:sz w:val="24"/>
          <w:szCs w:val="24"/>
          <w:highlight w:val="none"/>
        </w:rPr>
        <w:t>第一部分  专用部分</w:t>
      </w:r>
      <w:r>
        <w:rPr>
          <w:sz w:val="24"/>
          <w:szCs w:val="24"/>
        </w:rPr>
        <w:tab/>
      </w:r>
      <w:r>
        <w:rPr>
          <w:sz w:val="24"/>
          <w:szCs w:val="24"/>
        </w:rPr>
        <w:fldChar w:fldCharType="begin"/>
      </w:r>
      <w:r>
        <w:rPr>
          <w:sz w:val="24"/>
          <w:szCs w:val="24"/>
        </w:rPr>
        <w:instrText xml:space="preserve"> PAGEREF _Toc3879 \h </w:instrText>
      </w:r>
      <w:r>
        <w:rPr>
          <w:sz w:val="24"/>
          <w:szCs w:val="24"/>
        </w:rPr>
        <w:fldChar w:fldCharType="separate"/>
      </w:r>
      <w:r>
        <w:rPr>
          <w:sz w:val="24"/>
          <w:szCs w:val="24"/>
        </w:rPr>
        <w:t>4</w:t>
      </w:r>
      <w:r>
        <w:rPr>
          <w:sz w:val="24"/>
          <w:szCs w:val="24"/>
        </w:rPr>
        <w:fldChar w:fldCharType="end"/>
      </w:r>
      <w:r>
        <w:rPr>
          <w:rFonts w:hint="eastAsia" w:ascii="宋体" w:hAnsi="宋体" w:cs="宋体"/>
          <w:bCs/>
          <w:color w:val="auto"/>
          <w:sz w:val="24"/>
          <w:szCs w:val="24"/>
          <w:highlight w:val="none"/>
        </w:rPr>
        <w:fldChar w:fldCharType="end"/>
      </w:r>
    </w:p>
    <w:p w14:paraId="348DE3B6">
      <w:pPr>
        <w:pStyle w:val="28"/>
        <w:keepNext w:val="0"/>
        <w:keepLines w:val="0"/>
        <w:pageBreakBefore w:val="0"/>
        <w:widowControl/>
        <w:tabs>
          <w:tab w:val="right" w:leader="dot" w:pos="8307"/>
          <w:tab w:val="clear" w:pos="9061"/>
        </w:tabs>
        <w:kinsoku/>
        <w:wordWrap/>
        <w:overflowPunct/>
        <w:topLinePunct w:val="0"/>
        <w:autoSpaceDE/>
        <w:autoSpaceDN/>
        <w:bidi w:val="0"/>
        <w:adjustRightInd/>
        <w:snapToGrid/>
        <w:spacing w:beforeLines="0" w:afterLines="0"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_Toc12968 </w:instrText>
      </w:r>
      <w:r>
        <w:rPr>
          <w:rFonts w:hint="eastAsia" w:ascii="宋体" w:hAnsi="宋体" w:cs="宋体"/>
          <w:bCs/>
          <w:sz w:val="22"/>
          <w:szCs w:val="22"/>
          <w:highlight w:val="none"/>
        </w:rPr>
        <w:fldChar w:fldCharType="separate"/>
      </w:r>
      <w:r>
        <w:rPr>
          <w:rFonts w:hint="eastAsia" w:ascii="宋体" w:hAnsi="宋体" w:eastAsia="宋体" w:cs="宋体"/>
          <w:sz w:val="22"/>
          <w:szCs w:val="22"/>
          <w:highlight w:val="none"/>
        </w:rPr>
        <w:t>第一章　响应内容</w:t>
      </w:r>
      <w:r>
        <w:rPr>
          <w:sz w:val="22"/>
          <w:szCs w:val="22"/>
        </w:rPr>
        <w:tab/>
      </w:r>
      <w:r>
        <w:rPr>
          <w:sz w:val="22"/>
          <w:szCs w:val="22"/>
        </w:rPr>
        <w:fldChar w:fldCharType="begin"/>
      </w:r>
      <w:r>
        <w:rPr>
          <w:sz w:val="22"/>
          <w:szCs w:val="22"/>
        </w:rPr>
        <w:instrText xml:space="preserve"> PAGEREF _Toc12968 \h </w:instrText>
      </w:r>
      <w:r>
        <w:rPr>
          <w:sz w:val="22"/>
          <w:szCs w:val="22"/>
        </w:rPr>
        <w:fldChar w:fldCharType="separate"/>
      </w:r>
      <w:r>
        <w:rPr>
          <w:sz w:val="22"/>
          <w:szCs w:val="22"/>
        </w:rPr>
        <w:t>4</w:t>
      </w:r>
      <w:r>
        <w:rPr>
          <w:sz w:val="22"/>
          <w:szCs w:val="22"/>
        </w:rPr>
        <w:fldChar w:fldCharType="end"/>
      </w:r>
      <w:r>
        <w:rPr>
          <w:rFonts w:hint="eastAsia" w:ascii="宋体" w:hAnsi="宋体" w:cs="宋体"/>
          <w:bCs/>
          <w:color w:val="auto"/>
          <w:sz w:val="22"/>
          <w:szCs w:val="22"/>
          <w:highlight w:val="none"/>
        </w:rPr>
        <w:fldChar w:fldCharType="end"/>
      </w:r>
    </w:p>
    <w:p w14:paraId="30FFD5D4">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_Toc10062 </w:instrText>
      </w:r>
      <w:r>
        <w:rPr>
          <w:rFonts w:hint="eastAsia" w:ascii="宋体" w:hAnsi="宋体" w:cs="宋体"/>
          <w:bCs/>
          <w:sz w:val="22"/>
          <w:szCs w:val="22"/>
          <w:highlight w:val="none"/>
        </w:rPr>
        <w:fldChar w:fldCharType="separate"/>
      </w:r>
      <w:r>
        <w:rPr>
          <w:rFonts w:hint="eastAsia" w:ascii="宋体" w:hAnsi="宋体" w:eastAsia="宋体" w:cs="宋体"/>
          <w:sz w:val="22"/>
          <w:szCs w:val="22"/>
          <w:highlight w:val="none"/>
        </w:rPr>
        <w:t xml:space="preserve">第一节  </w:t>
      </w:r>
      <w:r>
        <w:rPr>
          <w:rFonts w:hint="eastAsia" w:ascii="宋体" w:hAnsi="宋体" w:eastAsia="宋体" w:cs="宋体"/>
          <w:sz w:val="22"/>
          <w:szCs w:val="24"/>
          <w:highlight w:val="none"/>
        </w:rPr>
        <w:t>比选相关资料表</w:t>
      </w:r>
      <w:r>
        <w:rPr>
          <w:sz w:val="22"/>
          <w:szCs w:val="22"/>
        </w:rPr>
        <w:tab/>
      </w:r>
      <w:r>
        <w:rPr>
          <w:sz w:val="22"/>
          <w:szCs w:val="22"/>
        </w:rPr>
        <w:fldChar w:fldCharType="begin"/>
      </w:r>
      <w:r>
        <w:rPr>
          <w:sz w:val="22"/>
          <w:szCs w:val="22"/>
        </w:rPr>
        <w:instrText xml:space="preserve"> PAGEREF _Toc10062 \h </w:instrText>
      </w:r>
      <w:r>
        <w:rPr>
          <w:sz w:val="22"/>
          <w:szCs w:val="22"/>
        </w:rPr>
        <w:fldChar w:fldCharType="separate"/>
      </w:r>
      <w:r>
        <w:rPr>
          <w:sz w:val="22"/>
          <w:szCs w:val="22"/>
        </w:rPr>
        <w:t>5</w:t>
      </w:r>
      <w:r>
        <w:rPr>
          <w:sz w:val="22"/>
          <w:szCs w:val="22"/>
        </w:rPr>
        <w:fldChar w:fldCharType="end"/>
      </w:r>
      <w:r>
        <w:rPr>
          <w:rFonts w:hint="eastAsia" w:ascii="宋体" w:hAnsi="宋体" w:cs="宋体"/>
          <w:bCs/>
          <w:color w:val="auto"/>
          <w:sz w:val="22"/>
          <w:szCs w:val="22"/>
          <w:highlight w:val="none"/>
        </w:rPr>
        <w:fldChar w:fldCharType="end"/>
      </w:r>
    </w:p>
    <w:p w14:paraId="6DC3B61C">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_Toc21455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第二节  须知</w:t>
      </w:r>
      <w:r>
        <w:rPr>
          <w:sz w:val="22"/>
          <w:szCs w:val="22"/>
        </w:rPr>
        <w:tab/>
      </w:r>
      <w:r>
        <w:rPr>
          <w:sz w:val="22"/>
          <w:szCs w:val="22"/>
        </w:rPr>
        <w:fldChar w:fldCharType="begin"/>
      </w:r>
      <w:r>
        <w:rPr>
          <w:sz w:val="22"/>
          <w:szCs w:val="22"/>
        </w:rPr>
        <w:instrText xml:space="preserve"> PAGEREF _Toc21455 \h </w:instrText>
      </w:r>
      <w:r>
        <w:rPr>
          <w:sz w:val="22"/>
          <w:szCs w:val="22"/>
        </w:rPr>
        <w:fldChar w:fldCharType="separate"/>
      </w:r>
      <w:r>
        <w:rPr>
          <w:sz w:val="22"/>
          <w:szCs w:val="22"/>
        </w:rPr>
        <w:t>7</w:t>
      </w:r>
      <w:r>
        <w:rPr>
          <w:sz w:val="22"/>
          <w:szCs w:val="22"/>
        </w:rPr>
        <w:fldChar w:fldCharType="end"/>
      </w:r>
      <w:r>
        <w:rPr>
          <w:rFonts w:hint="eastAsia" w:ascii="宋体" w:hAnsi="宋体" w:cs="宋体"/>
          <w:bCs/>
          <w:color w:val="auto"/>
          <w:sz w:val="22"/>
          <w:szCs w:val="22"/>
          <w:highlight w:val="none"/>
        </w:rPr>
        <w:fldChar w:fldCharType="end"/>
      </w:r>
    </w:p>
    <w:p w14:paraId="3501DA80">
      <w:pPr>
        <w:pStyle w:val="28"/>
        <w:keepNext w:val="0"/>
        <w:keepLines w:val="0"/>
        <w:pageBreakBefore w:val="0"/>
        <w:widowControl/>
        <w:tabs>
          <w:tab w:val="right" w:leader="dot" w:pos="8307"/>
          <w:tab w:val="clear" w:pos="9061"/>
        </w:tabs>
        <w:kinsoku/>
        <w:wordWrap/>
        <w:overflowPunct/>
        <w:topLinePunct w:val="0"/>
        <w:autoSpaceDE/>
        <w:autoSpaceDN/>
        <w:bidi w:val="0"/>
        <w:adjustRightInd w:val="0"/>
        <w:snapToGrid w:val="0"/>
        <w:spacing w:beforeLines="0" w:afterLines="0"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_Toc30496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第二章　采购内容及商务要求</w:t>
      </w:r>
      <w:r>
        <w:rPr>
          <w:sz w:val="22"/>
          <w:szCs w:val="22"/>
        </w:rPr>
        <w:tab/>
      </w:r>
      <w:r>
        <w:rPr>
          <w:sz w:val="22"/>
          <w:szCs w:val="22"/>
        </w:rPr>
        <w:fldChar w:fldCharType="begin"/>
      </w:r>
      <w:r>
        <w:rPr>
          <w:sz w:val="22"/>
          <w:szCs w:val="22"/>
        </w:rPr>
        <w:instrText xml:space="preserve"> PAGEREF _Toc30496 \h </w:instrText>
      </w:r>
      <w:r>
        <w:rPr>
          <w:sz w:val="22"/>
          <w:szCs w:val="22"/>
        </w:rPr>
        <w:fldChar w:fldCharType="separate"/>
      </w:r>
      <w:r>
        <w:rPr>
          <w:sz w:val="22"/>
          <w:szCs w:val="22"/>
        </w:rPr>
        <w:t>9</w:t>
      </w:r>
      <w:r>
        <w:rPr>
          <w:sz w:val="22"/>
          <w:szCs w:val="22"/>
        </w:rPr>
        <w:fldChar w:fldCharType="end"/>
      </w:r>
      <w:r>
        <w:rPr>
          <w:rFonts w:hint="eastAsia" w:ascii="宋体" w:hAnsi="宋体" w:cs="宋体"/>
          <w:bCs/>
          <w:color w:val="auto"/>
          <w:sz w:val="22"/>
          <w:szCs w:val="22"/>
          <w:highlight w:val="none"/>
        </w:rPr>
        <w:fldChar w:fldCharType="end"/>
      </w:r>
    </w:p>
    <w:p w14:paraId="59C36CC8">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_Toc31266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第一节  采购</w:t>
      </w:r>
      <w:r>
        <w:rPr>
          <w:rFonts w:hint="eastAsia" w:ascii="宋体" w:hAnsi="宋体" w:eastAsia="宋体" w:cs="宋体"/>
          <w:sz w:val="22"/>
          <w:szCs w:val="24"/>
          <w:highlight w:val="none"/>
          <w:lang w:val="en-US" w:eastAsia="zh-CN"/>
        </w:rPr>
        <w:t>内容</w:t>
      </w:r>
      <w:r>
        <w:rPr>
          <w:rFonts w:hint="eastAsia" w:ascii="宋体" w:hAnsi="宋体" w:eastAsia="宋体" w:cs="宋体"/>
          <w:sz w:val="22"/>
          <w:szCs w:val="24"/>
          <w:highlight w:val="none"/>
        </w:rPr>
        <w:t>及</w:t>
      </w:r>
      <w:r>
        <w:rPr>
          <w:rFonts w:hint="eastAsia" w:ascii="宋体" w:hAnsi="宋体" w:eastAsia="宋体" w:cs="宋体"/>
          <w:sz w:val="22"/>
          <w:szCs w:val="24"/>
          <w:highlight w:val="none"/>
          <w:lang w:val="en-US" w:eastAsia="zh-CN"/>
        </w:rPr>
        <w:t>服务</w:t>
      </w:r>
      <w:r>
        <w:rPr>
          <w:rFonts w:hint="eastAsia" w:ascii="宋体" w:hAnsi="宋体" w:eastAsia="宋体" w:cs="宋体"/>
          <w:sz w:val="22"/>
          <w:szCs w:val="24"/>
          <w:highlight w:val="none"/>
        </w:rPr>
        <w:t>要求</w:t>
      </w:r>
      <w:r>
        <w:rPr>
          <w:sz w:val="22"/>
          <w:szCs w:val="22"/>
        </w:rPr>
        <w:tab/>
      </w:r>
      <w:r>
        <w:rPr>
          <w:sz w:val="22"/>
          <w:szCs w:val="22"/>
        </w:rPr>
        <w:fldChar w:fldCharType="begin"/>
      </w:r>
      <w:r>
        <w:rPr>
          <w:sz w:val="22"/>
          <w:szCs w:val="22"/>
        </w:rPr>
        <w:instrText xml:space="preserve"> PAGEREF _Toc31266 \h </w:instrText>
      </w:r>
      <w:r>
        <w:rPr>
          <w:sz w:val="22"/>
          <w:szCs w:val="22"/>
        </w:rPr>
        <w:fldChar w:fldCharType="separate"/>
      </w:r>
      <w:r>
        <w:rPr>
          <w:sz w:val="22"/>
          <w:szCs w:val="22"/>
        </w:rPr>
        <w:t>9</w:t>
      </w:r>
      <w:r>
        <w:rPr>
          <w:sz w:val="22"/>
          <w:szCs w:val="22"/>
        </w:rPr>
        <w:fldChar w:fldCharType="end"/>
      </w:r>
      <w:r>
        <w:rPr>
          <w:rFonts w:hint="eastAsia" w:ascii="宋体" w:hAnsi="宋体" w:cs="宋体"/>
          <w:bCs/>
          <w:color w:val="auto"/>
          <w:sz w:val="22"/>
          <w:szCs w:val="22"/>
          <w:highlight w:val="none"/>
        </w:rPr>
        <w:fldChar w:fldCharType="end"/>
      </w:r>
    </w:p>
    <w:p w14:paraId="69CFF3CD">
      <w:pPr>
        <w:pStyle w:val="18"/>
        <w:keepNext w:val="0"/>
        <w:keepLines w:val="0"/>
        <w:pageBreakBefore w:val="0"/>
        <w:widowControl/>
        <w:tabs>
          <w:tab w:val="right" w:leader="dot" w:pos="8307"/>
          <w:tab w:val="clear" w:pos="9061"/>
        </w:tabs>
        <w:kinsoku/>
        <w:wordWrap/>
        <w:overflowPunct/>
        <w:topLinePunct w:val="0"/>
        <w:autoSpaceDE/>
        <w:autoSpaceDN/>
        <w:bidi w:val="0"/>
        <w:adjustRightInd/>
        <w:snapToGrid/>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_Toc13288 </w:instrText>
      </w:r>
      <w:r>
        <w:rPr>
          <w:rFonts w:hint="eastAsia" w:ascii="宋体" w:hAnsi="宋体" w:cs="宋体"/>
          <w:bCs/>
          <w:sz w:val="22"/>
          <w:szCs w:val="22"/>
          <w:highlight w:val="none"/>
        </w:rPr>
        <w:fldChar w:fldCharType="separate"/>
      </w:r>
      <w:r>
        <w:rPr>
          <w:rFonts w:hint="eastAsia" w:ascii="宋体" w:hAnsi="宋体" w:eastAsia="宋体" w:cs="宋体"/>
          <w:bCs/>
          <w:sz w:val="22"/>
          <w:szCs w:val="24"/>
          <w:highlight w:val="none"/>
          <w:lang w:val="en-US" w:eastAsia="zh-CN" w:bidi="ar-SA"/>
        </w:rPr>
        <w:t>第二节  商务要求</w:t>
      </w:r>
      <w:r>
        <w:rPr>
          <w:sz w:val="22"/>
          <w:szCs w:val="22"/>
        </w:rPr>
        <w:tab/>
      </w:r>
      <w:r>
        <w:rPr>
          <w:sz w:val="22"/>
          <w:szCs w:val="22"/>
        </w:rPr>
        <w:fldChar w:fldCharType="begin"/>
      </w:r>
      <w:r>
        <w:rPr>
          <w:sz w:val="22"/>
          <w:szCs w:val="22"/>
        </w:rPr>
        <w:instrText xml:space="preserve"> PAGEREF _Toc13288 \h </w:instrText>
      </w:r>
      <w:r>
        <w:rPr>
          <w:sz w:val="22"/>
          <w:szCs w:val="22"/>
        </w:rPr>
        <w:fldChar w:fldCharType="separate"/>
      </w:r>
      <w:r>
        <w:rPr>
          <w:sz w:val="22"/>
          <w:szCs w:val="22"/>
        </w:rPr>
        <w:t>10</w:t>
      </w:r>
      <w:r>
        <w:rPr>
          <w:sz w:val="22"/>
          <w:szCs w:val="22"/>
        </w:rPr>
        <w:fldChar w:fldCharType="end"/>
      </w:r>
      <w:r>
        <w:rPr>
          <w:rFonts w:hint="eastAsia" w:ascii="宋体" w:hAnsi="宋体" w:cs="宋体"/>
          <w:bCs/>
          <w:color w:val="auto"/>
          <w:sz w:val="22"/>
          <w:szCs w:val="22"/>
          <w:highlight w:val="none"/>
        </w:rPr>
        <w:fldChar w:fldCharType="end"/>
      </w:r>
    </w:p>
    <w:p w14:paraId="6D755A5A">
      <w:pPr>
        <w:pStyle w:val="28"/>
        <w:pageBreakBefore w:val="0"/>
        <w:tabs>
          <w:tab w:val="right" w:leader="dot" w:pos="8307"/>
          <w:tab w:val="clear" w:pos="9061"/>
        </w:tabs>
        <w:kinsoku/>
        <w:wordWrap/>
        <w:overflowPunct/>
        <w:topLinePunct w:val="0"/>
        <w:autoSpaceDE/>
        <w:autoSpaceDN/>
        <w:bidi w:val="0"/>
        <w:spacing w:beforeLines="0" w:afterLines="0"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_Toc24866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第三章　评审办法及评分标准</w:t>
      </w:r>
      <w:r>
        <w:rPr>
          <w:sz w:val="22"/>
          <w:szCs w:val="22"/>
        </w:rPr>
        <w:tab/>
      </w:r>
      <w:r>
        <w:rPr>
          <w:sz w:val="22"/>
          <w:szCs w:val="22"/>
        </w:rPr>
        <w:fldChar w:fldCharType="begin"/>
      </w:r>
      <w:r>
        <w:rPr>
          <w:sz w:val="22"/>
          <w:szCs w:val="22"/>
        </w:rPr>
        <w:instrText xml:space="preserve"> PAGEREF _Toc24866 \h </w:instrText>
      </w:r>
      <w:r>
        <w:rPr>
          <w:sz w:val="22"/>
          <w:szCs w:val="22"/>
        </w:rPr>
        <w:fldChar w:fldCharType="separate"/>
      </w:r>
      <w:r>
        <w:rPr>
          <w:sz w:val="22"/>
          <w:szCs w:val="22"/>
        </w:rPr>
        <w:t>11</w:t>
      </w:r>
      <w:r>
        <w:rPr>
          <w:sz w:val="22"/>
          <w:szCs w:val="22"/>
        </w:rPr>
        <w:fldChar w:fldCharType="end"/>
      </w:r>
      <w:r>
        <w:rPr>
          <w:rFonts w:hint="eastAsia" w:ascii="宋体" w:hAnsi="宋体" w:cs="宋体"/>
          <w:bCs/>
          <w:color w:val="auto"/>
          <w:sz w:val="22"/>
          <w:szCs w:val="22"/>
          <w:highlight w:val="none"/>
        </w:rPr>
        <w:fldChar w:fldCharType="end"/>
      </w:r>
    </w:p>
    <w:p w14:paraId="4BEEA260">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_Toc8450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第一节 评审办法</w:t>
      </w:r>
      <w:r>
        <w:rPr>
          <w:sz w:val="22"/>
          <w:szCs w:val="22"/>
        </w:rPr>
        <w:tab/>
      </w:r>
      <w:r>
        <w:rPr>
          <w:sz w:val="22"/>
          <w:szCs w:val="22"/>
        </w:rPr>
        <w:fldChar w:fldCharType="begin"/>
      </w:r>
      <w:r>
        <w:rPr>
          <w:sz w:val="22"/>
          <w:szCs w:val="22"/>
        </w:rPr>
        <w:instrText xml:space="preserve"> PAGEREF _Toc8450 \h </w:instrText>
      </w:r>
      <w:r>
        <w:rPr>
          <w:sz w:val="22"/>
          <w:szCs w:val="22"/>
        </w:rPr>
        <w:fldChar w:fldCharType="separate"/>
      </w:r>
      <w:r>
        <w:rPr>
          <w:sz w:val="22"/>
          <w:szCs w:val="22"/>
        </w:rPr>
        <w:t>11</w:t>
      </w:r>
      <w:r>
        <w:rPr>
          <w:sz w:val="22"/>
          <w:szCs w:val="22"/>
        </w:rPr>
        <w:fldChar w:fldCharType="end"/>
      </w:r>
      <w:r>
        <w:rPr>
          <w:rFonts w:hint="eastAsia" w:ascii="宋体" w:hAnsi="宋体" w:cs="宋体"/>
          <w:bCs/>
          <w:color w:val="auto"/>
          <w:sz w:val="22"/>
          <w:szCs w:val="22"/>
          <w:highlight w:val="none"/>
        </w:rPr>
        <w:fldChar w:fldCharType="end"/>
      </w:r>
    </w:p>
    <w:p w14:paraId="095E57CE">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rFonts w:hint="eastAsia" w:ascii="宋体" w:hAnsi="宋体" w:cs="宋体"/>
          <w:bCs/>
          <w:color w:val="auto"/>
          <w:sz w:val="22"/>
          <w:szCs w:val="22"/>
          <w:highlight w:val="none"/>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_Toc17711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第二节 评分标准</w:t>
      </w:r>
      <w:r>
        <w:rPr>
          <w:sz w:val="22"/>
          <w:szCs w:val="22"/>
        </w:rPr>
        <w:tab/>
      </w:r>
      <w:r>
        <w:rPr>
          <w:sz w:val="22"/>
          <w:szCs w:val="22"/>
        </w:rPr>
        <w:fldChar w:fldCharType="begin"/>
      </w:r>
      <w:r>
        <w:rPr>
          <w:sz w:val="22"/>
          <w:szCs w:val="22"/>
        </w:rPr>
        <w:instrText xml:space="preserve"> PAGEREF _Toc17711 \h </w:instrText>
      </w:r>
      <w:r>
        <w:rPr>
          <w:sz w:val="22"/>
          <w:szCs w:val="22"/>
        </w:rPr>
        <w:fldChar w:fldCharType="separate"/>
      </w:r>
      <w:r>
        <w:rPr>
          <w:sz w:val="22"/>
          <w:szCs w:val="22"/>
        </w:rPr>
        <w:t>11</w:t>
      </w:r>
      <w:r>
        <w:rPr>
          <w:sz w:val="22"/>
          <w:szCs w:val="22"/>
        </w:rPr>
        <w:fldChar w:fldCharType="end"/>
      </w:r>
      <w:r>
        <w:rPr>
          <w:rFonts w:hint="eastAsia" w:ascii="宋体" w:hAnsi="宋体" w:cs="宋体"/>
          <w:bCs/>
          <w:color w:val="auto"/>
          <w:sz w:val="22"/>
          <w:szCs w:val="22"/>
          <w:highlight w:val="none"/>
        </w:rPr>
        <w:fldChar w:fldCharType="end"/>
      </w:r>
    </w:p>
    <w:p w14:paraId="0F8EA35A">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rFonts w:hint="eastAsia" w:eastAsia="宋体"/>
          <w:lang w:val="en-US" w:eastAsia="zh-CN"/>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_Toc17711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w:t>
      </w:r>
      <w:r>
        <w:rPr>
          <w:rFonts w:hint="eastAsia" w:ascii="宋体" w:hAnsi="宋体" w:cs="宋体"/>
          <w:sz w:val="22"/>
          <w:szCs w:val="24"/>
          <w:highlight w:val="none"/>
          <w:lang w:val="en-US" w:eastAsia="zh-CN"/>
        </w:rPr>
        <w:t>三</w:t>
      </w:r>
      <w:r>
        <w:rPr>
          <w:rFonts w:hint="eastAsia" w:ascii="宋体" w:hAnsi="宋体" w:eastAsia="宋体" w:cs="宋体"/>
          <w:sz w:val="22"/>
          <w:szCs w:val="24"/>
          <w:highlight w:val="none"/>
        </w:rPr>
        <w:t xml:space="preserve">节 </w:t>
      </w:r>
      <w:r>
        <w:rPr>
          <w:rFonts w:hint="eastAsia" w:ascii="宋体" w:hAnsi="宋体" w:cs="宋体"/>
          <w:sz w:val="22"/>
          <w:szCs w:val="24"/>
          <w:highlight w:val="none"/>
          <w:lang w:val="en-US" w:eastAsia="zh-CN"/>
        </w:rPr>
        <w:t>废标条款</w:t>
      </w:r>
      <w:r>
        <w:rPr>
          <w:sz w:val="22"/>
          <w:szCs w:val="22"/>
        </w:rPr>
        <w:tab/>
      </w:r>
      <w:r>
        <w:rPr>
          <w:rFonts w:hint="eastAsia"/>
          <w:sz w:val="22"/>
          <w:szCs w:val="22"/>
          <w:lang w:val="en-US" w:eastAsia="zh-CN"/>
        </w:rPr>
        <w:t>1</w:t>
      </w:r>
      <w:r>
        <w:rPr>
          <w:rFonts w:hint="eastAsia" w:ascii="宋体" w:hAnsi="宋体" w:cs="宋体"/>
          <w:bCs/>
          <w:color w:val="auto"/>
          <w:sz w:val="22"/>
          <w:szCs w:val="22"/>
          <w:highlight w:val="none"/>
        </w:rPr>
        <w:fldChar w:fldCharType="end"/>
      </w:r>
      <w:r>
        <w:rPr>
          <w:rFonts w:hint="eastAsia" w:ascii="宋体" w:hAnsi="宋体" w:cs="宋体"/>
          <w:bCs/>
          <w:color w:val="auto"/>
          <w:sz w:val="22"/>
          <w:szCs w:val="22"/>
          <w:highlight w:val="none"/>
          <w:lang w:val="en-US" w:eastAsia="zh-CN"/>
        </w:rPr>
        <w:t>4</w:t>
      </w:r>
    </w:p>
    <w:p w14:paraId="074FC42A">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_Toc15858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第四节 无效标条款（针对单个比选参与人）</w:t>
      </w:r>
      <w:r>
        <w:rPr>
          <w:sz w:val="22"/>
          <w:szCs w:val="22"/>
        </w:rPr>
        <w:tab/>
      </w:r>
      <w:r>
        <w:rPr>
          <w:sz w:val="22"/>
          <w:szCs w:val="22"/>
        </w:rPr>
        <w:fldChar w:fldCharType="begin"/>
      </w:r>
      <w:r>
        <w:rPr>
          <w:sz w:val="22"/>
          <w:szCs w:val="22"/>
        </w:rPr>
        <w:instrText xml:space="preserve"> PAGEREF _Toc15858 \h </w:instrText>
      </w:r>
      <w:r>
        <w:rPr>
          <w:sz w:val="22"/>
          <w:szCs w:val="22"/>
        </w:rPr>
        <w:fldChar w:fldCharType="separate"/>
      </w:r>
      <w:r>
        <w:rPr>
          <w:sz w:val="22"/>
          <w:szCs w:val="22"/>
        </w:rPr>
        <w:t>16</w:t>
      </w:r>
      <w:r>
        <w:rPr>
          <w:sz w:val="22"/>
          <w:szCs w:val="22"/>
        </w:rPr>
        <w:fldChar w:fldCharType="end"/>
      </w:r>
      <w:r>
        <w:rPr>
          <w:rFonts w:hint="eastAsia" w:ascii="宋体" w:hAnsi="宋体" w:cs="宋体"/>
          <w:bCs/>
          <w:color w:val="auto"/>
          <w:sz w:val="22"/>
          <w:szCs w:val="22"/>
          <w:highlight w:val="none"/>
        </w:rPr>
        <w:fldChar w:fldCharType="end"/>
      </w:r>
    </w:p>
    <w:p w14:paraId="0EC8F5D1">
      <w:pPr>
        <w:pStyle w:val="25"/>
        <w:pageBreakBefore w:val="0"/>
        <w:tabs>
          <w:tab w:val="right" w:leader="dot" w:pos="8307"/>
          <w:tab w:val="clear" w:pos="9061"/>
        </w:tabs>
        <w:kinsoku/>
        <w:wordWrap/>
        <w:overflowPunct/>
        <w:topLinePunct w:val="0"/>
        <w:autoSpaceDE/>
        <w:autoSpaceDN/>
        <w:bidi w:val="0"/>
        <w:spacing w:beforeLines="0" w:afterLines="0" w:line="360" w:lineRule="auto"/>
        <w:ind w:left="0" w:leftChars="0"/>
        <w:textAlignment w:val="auto"/>
        <w:rPr>
          <w:sz w:val="24"/>
          <w:szCs w:val="24"/>
        </w:rPr>
      </w:pPr>
      <w:r>
        <w:rPr>
          <w:rFonts w:hint="eastAsia" w:ascii="宋体" w:hAnsi="宋体" w:cs="宋体"/>
          <w:bCs/>
          <w:color w:val="auto"/>
          <w:sz w:val="24"/>
          <w:szCs w:val="24"/>
          <w:highlight w:val="none"/>
        </w:rPr>
        <w:fldChar w:fldCharType="begin"/>
      </w:r>
      <w:r>
        <w:rPr>
          <w:rFonts w:hint="eastAsia" w:ascii="宋体" w:hAnsi="宋体" w:cs="宋体"/>
          <w:bCs/>
          <w:sz w:val="24"/>
          <w:szCs w:val="24"/>
          <w:highlight w:val="none"/>
        </w:rPr>
        <w:instrText xml:space="preserve"> HYPERLINK \l _Toc12727 </w:instrText>
      </w:r>
      <w:r>
        <w:rPr>
          <w:rFonts w:hint="eastAsia" w:ascii="宋体" w:hAnsi="宋体" w:cs="宋体"/>
          <w:bCs/>
          <w:sz w:val="24"/>
          <w:szCs w:val="24"/>
          <w:highlight w:val="none"/>
        </w:rPr>
        <w:fldChar w:fldCharType="separate"/>
      </w:r>
      <w:r>
        <w:rPr>
          <w:rFonts w:hint="eastAsia" w:ascii="宋体" w:hAnsi="宋体" w:eastAsia="宋体" w:cs="宋体"/>
          <w:sz w:val="24"/>
          <w:szCs w:val="24"/>
          <w:highlight w:val="none"/>
        </w:rPr>
        <w:t>第二部分  通用部分</w:t>
      </w:r>
      <w:r>
        <w:rPr>
          <w:sz w:val="24"/>
          <w:szCs w:val="24"/>
        </w:rPr>
        <w:tab/>
      </w:r>
      <w:r>
        <w:rPr>
          <w:sz w:val="24"/>
          <w:szCs w:val="24"/>
        </w:rPr>
        <w:fldChar w:fldCharType="begin"/>
      </w:r>
      <w:r>
        <w:rPr>
          <w:sz w:val="24"/>
          <w:szCs w:val="24"/>
        </w:rPr>
        <w:instrText xml:space="preserve"> PAGEREF _Toc12727 \h </w:instrText>
      </w:r>
      <w:r>
        <w:rPr>
          <w:sz w:val="24"/>
          <w:szCs w:val="24"/>
        </w:rPr>
        <w:fldChar w:fldCharType="separate"/>
      </w:r>
      <w:r>
        <w:rPr>
          <w:sz w:val="24"/>
          <w:szCs w:val="24"/>
        </w:rPr>
        <w:t>17</w:t>
      </w:r>
      <w:r>
        <w:rPr>
          <w:sz w:val="24"/>
          <w:szCs w:val="24"/>
        </w:rPr>
        <w:fldChar w:fldCharType="end"/>
      </w:r>
      <w:r>
        <w:rPr>
          <w:rFonts w:hint="eastAsia" w:ascii="宋体" w:hAnsi="宋体" w:cs="宋体"/>
          <w:bCs/>
          <w:color w:val="auto"/>
          <w:sz w:val="24"/>
          <w:szCs w:val="24"/>
          <w:highlight w:val="none"/>
        </w:rPr>
        <w:fldChar w:fldCharType="end"/>
      </w:r>
    </w:p>
    <w:p w14:paraId="7649634F">
      <w:pPr>
        <w:pStyle w:val="28"/>
        <w:pageBreakBefore w:val="0"/>
        <w:tabs>
          <w:tab w:val="right" w:leader="dot" w:pos="8307"/>
          <w:tab w:val="clear" w:pos="9061"/>
        </w:tabs>
        <w:kinsoku/>
        <w:wordWrap/>
        <w:overflowPunct/>
        <w:topLinePunct w:val="0"/>
        <w:autoSpaceDE/>
        <w:autoSpaceDN/>
        <w:bidi w:val="0"/>
        <w:spacing w:beforeLines="0" w:afterLines="0"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_Toc21098 </w:instrText>
      </w:r>
      <w:r>
        <w:rPr>
          <w:rFonts w:hint="eastAsia" w:ascii="宋体" w:hAnsi="宋体" w:cs="宋体"/>
          <w:bCs/>
          <w:sz w:val="22"/>
          <w:szCs w:val="22"/>
          <w:highlight w:val="none"/>
        </w:rPr>
        <w:fldChar w:fldCharType="separate"/>
      </w:r>
      <w:r>
        <w:rPr>
          <w:rFonts w:hint="eastAsia" w:ascii="宋体" w:hAnsi="宋体" w:eastAsia="宋体" w:cs="宋体"/>
          <w:sz w:val="22"/>
          <w:szCs w:val="22"/>
          <w:highlight w:val="none"/>
        </w:rPr>
        <w:t>第四章  采购程序</w:t>
      </w:r>
      <w:r>
        <w:rPr>
          <w:sz w:val="22"/>
          <w:szCs w:val="22"/>
        </w:rPr>
        <w:tab/>
      </w:r>
      <w:r>
        <w:rPr>
          <w:sz w:val="22"/>
          <w:szCs w:val="22"/>
        </w:rPr>
        <w:fldChar w:fldCharType="begin"/>
      </w:r>
      <w:r>
        <w:rPr>
          <w:sz w:val="22"/>
          <w:szCs w:val="22"/>
        </w:rPr>
        <w:instrText xml:space="preserve"> PAGEREF _Toc21098 \h </w:instrText>
      </w:r>
      <w:r>
        <w:rPr>
          <w:sz w:val="22"/>
          <w:szCs w:val="22"/>
        </w:rPr>
        <w:fldChar w:fldCharType="separate"/>
      </w:r>
      <w:r>
        <w:rPr>
          <w:sz w:val="22"/>
          <w:szCs w:val="22"/>
        </w:rPr>
        <w:t>17</w:t>
      </w:r>
      <w:r>
        <w:rPr>
          <w:sz w:val="22"/>
          <w:szCs w:val="22"/>
        </w:rPr>
        <w:fldChar w:fldCharType="end"/>
      </w:r>
      <w:r>
        <w:rPr>
          <w:rFonts w:hint="eastAsia" w:ascii="宋体" w:hAnsi="宋体" w:cs="宋体"/>
          <w:bCs/>
          <w:color w:val="auto"/>
          <w:sz w:val="22"/>
          <w:szCs w:val="22"/>
          <w:highlight w:val="none"/>
        </w:rPr>
        <w:fldChar w:fldCharType="end"/>
      </w:r>
    </w:p>
    <w:p w14:paraId="5902E777">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_Toc31166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第一节  发布采购公告</w:t>
      </w:r>
      <w:r>
        <w:rPr>
          <w:sz w:val="22"/>
          <w:szCs w:val="22"/>
        </w:rPr>
        <w:tab/>
      </w:r>
      <w:r>
        <w:rPr>
          <w:sz w:val="22"/>
          <w:szCs w:val="22"/>
        </w:rPr>
        <w:fldChar w:fldCharType="begin"/>
      </w:r>
      <w:r>
        <w:rPr>
          <w:sz w:val="22"/>
          <w:szCs w:val="22"/>
        </w:rPr>
        <w:instrText xml:space="preserve"> PAGEREF _Toc31166 \h </w:instrText>
      </w:r>
      <w:r>
        <w:rPr>
          <w:sz w:val="22"/>
          <w:szCs w:val="22"/>
        </w:rPr>
        <w:fldChar w:fldCharType="separate"/>
      </w:r>
      <w:r>
        <w:rPr>
          <w:sz w:val="22"/>
          <w:szCs w:val="22"/>
        </w:rPr>
        <w:t>17</w:t>
      </w:r>
      <w:r>
        <w:rPr>
          <w:sz w:val="22"/>
          <w:szCs w:val="22"/>
        </w:rPr>
        <w:fldChar w:fldCharType="end"/>
      </w:r>
      <w:r>
        <w:rPr>
          <w:rFonts w:hint="eastAsia" w:ascii="宋体" w:hAnsi="宋体" w:cs="宋体"/>
          <w:bCs/>
          <w:color w:val="auto"/>
          <w:sz w:val="22"/>
          <w:szCs w:val="22"/>
          <w:highlight w:val="none"/>
        </w:rPr>
        <w:fldChar w:fldCharType="end"/>
      </w:r>
    </w:p>
    <w:p w14:paraId="10683C70">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_Toc12071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第二节  获取比选文件</w:t>
      </w:r>
      <w:r>
        <w:rPr>
          <w:sz w:val="22"/>
          <w:szCs w:val="22"/>
        </w:rPr>
        <w:tab/>
      </w:r>
      <w:r>
        <w:rPr>
          <w:sz w:val="22"/>
          <w:szCs w:val="22"/>
        </w:rPr>
        <w:fldChar w:fldCharType="begin"/>
      </w:r>
      <w:r>
        <w:rPr>
          <w:sz w:val="22"/>
          <w:szCs w:val="22"/>
        </w:rPr>
        <w:instrText xml:space="preserve"> PAGEREF _Toc12071 \h </w:instrText>
      </w:r>
      <w:r>
        <w:rPr>
          <w:sz w:val="22"/>
          <w:szCs w:val="22"/>
        </w:rPr>
        <w:fldChar w:fldCharType="separate"/>
      </w:r>
      <w:r>
        <w:rPr>
          <w:sz w:val="22"/>
          <w:szCs w:val="22"/>
        </w:rPr>
        <w:t>17</w:t>
      </w:r>
      <w:r>
        <w:rPr>
          <w:sz w:val="22"/>
          <w:szCs w:val="22"/>
        </w:rPr>
        <w:fldChar w:fldCharType="end"/>
      </w:r>
      <w:r>
        <w:rPr>
          <w:rFonts w:hint="eastAsia" w:ascii="宋体" w:hAnsi="宋体" w:cs="宋体"/>
          <w:bCs/>
          <w:color w:val="auto"/>
          <w:sz w:val="22"/>
          <w:szCs w:val="22"/>
          <w:highlight w:val="none"/>
        </w:rPr>
        <w:fldChar w:fldCharType="end"/>
      </w:r>
    </w:p>
    <w:p w14:paraId="59FD7138">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_Toc30124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第三节   比选保证金</w:t>
      </w:r>
      <w:r>
        <w:rPr>
          <w:sz w:val="22"/>
          <w:szCs w:val="22"/>
        </w:rPr>
        <w:tab/>
      </w:r>
      <w:r>
        <w:rPr>
          <w:sz w:val="22"/>
          <w:szCs w:val="22"/>
        </w:rPr>
        <w:fldChar w:fldCharType="begin"/>
      </w:r>
      <w:r>
        <w:rPr>
          <w:sz w:val="22"/>
          <w:szCs w:val="22"/>
        </w:rPr>
        <w:instrText xml:space="preserve"> PAGEREF _Toc30124 \h </w:instrText>
      </w:r>
      <w:r>
        <w:rPr>
          <w:sz w:val="22"/>
          <w:szCs w:val="22"/>
        </w:rPr>
        <w:fldChar w:fldCharType="separate"/>
      </w:r>
      <w:r>
        <w:rPr>
          <w:sz w:val="22"/>
          <w:szCs w:val="22"/>
        </w:rPr>
        <w:t>18</w:t>
      </w:r>
      <w:r>
        <w:rPr>
          <w:sz w:val="22"/>
          <w:szCs w:val="22"/>
        </w:rPr>
        <w:fldChar w:fldCharType="end"/>
      </w:r>
      <w:r>
        <w:rPr>
          <w:rFonts w:hint="eastAsia" w:ascii="宋体" w:hAnsi="宋体" w:cs="宋体"/>
          <w:bCs/>
          <w:color w:val="auto"/>
          <w:sz w:val="22"/>
          <w:szCs w:val="22"/>
          <w:highlight w:val="none"/>
        </w:rPr>
        <w:fldChar w:fldCharType="end"/>
      </w:r>
    </w:p>
    <w:p w14:paraId="38DDBD9C">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_Toc29453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第四节  递交响应文件</w:t>
      </w:r>
      <w:r>
        <w:rPr>
          <w:sz w:val="22"/>
          <w:szCs w:val="22"/>
        </w:rPr>
        <w:tab/>
      </w:r>
      <w:r>
        <w:rPr>
          <w:sz w:val="22"/>
          <w:szCs w:val="22"/>
        </w:rPr>
        <w:fldChar w:fldCharType="begin"/>
      </w:r>
      <w:r>
        <w:rPr>
          <w:sz w:val="22"/>
          <w:szCs w:val="22"/>
        </w:rPr>
        <w:instrText xml:space="preserve"> PAGEREF _Toc29453 \h </w:instrText>
      </w:r>
      <w:r>
        <w:rPr>
          <w:sz w:val="22"/>
          <w:szCs w:val="22"/>
        </w:rPr>
        <w:fldChar w:fldCharType="separate"/>
      </w:r>
      <w:r>
        <w:rPr>
          <w:sz w:val="22"/>
          <w:szCs w:val="22"/>
        </w:rPr>
        <w:t>18</w:t>
      </w:r>
      <w:r>
        <w:rPr>
          <w:sz w:val="22"/>
          <w:szCs w:val="22"/>
        </w:rPr>
        <w:fldChar w:fldCharType="end"/>
      </w:r>
      <w:r>
        <w:rPr>
          <w:rFonts w:hint="eastAsia" w:ascii="宋体" w:hAnsi="宋体" w:cs="宋体"/>
          <w:bCs/>
          <w:color w:val="auto"/>
          <w:sz w:val="22"/>
          <w:szCs w:val="22"/>
          <w:highlight w:val="none"/>
        </w:rPr>
        <w:fldChar w:fldCharType="end"/>
      </w:r>
    </w:p>
    <w:p w14:paraId="0FBF4916">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_Toc14470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第五节  比选程序</w:t>
      </w:r>
      <w:r>
        <w:rPr>
          <w:sz w:val="22"/>
          <w:szCs w:val="22"/>
        </w:rPr>
        <w:tab/>
      </w:r>
      <w:r>
        <w:rPr>
          <w:sz w:val="22"/>
          <w:szCs w:val="22"/>
        </w:rPr>
        <w:fldChar w:fldCharType="begin"/>
      </w:r>
      <w:r>
        <w:rPr>
          <w:sz w:val="22"/>
          <w:szCs w:val="22"/>
        </w:rPr>
        <w:instrText xml:space="preserve"> PAGEREF _Toc14470 \h </w:instrText>
      </w:r>
      <w:r>
        <w:rPr>
          <w:sz w:val="22"/>
          <w:szCs w:val="22"/>
        </w:rPr>
        <w:fldChar w:fldCharType="separate"/>
      </w:r>
      <w:r>
        <w:rPr>
          <w:sz w:val="22"/>
          <w:szCs w:val="22"/>
        </w:rPr>
        <w:t>18</w:t>
      </w:r>
      <w:r>
        <w:rPr>
          <w:sz w:val="22"/>
          <w:szCs w:val="22"/>
        </w:rPr>
        <w:fldChar w:fldCharType="end"/>
      </w:r>
      <w:r>
        <w:rPr>
          <w:rFonts w:hint="eastAsia" w:ascii="宋体" w:hAnsi="宋体" w:cs="宋体"/>
          <w:bCs/>
          <w:color w:val="auto"/>
          <w:sz w:val="22"/>
          <w:szCs w:val="22"/>
          <w:highlight w:val="none"/>
        </w:rPr>
        <w:fldChar w:fldCharType="end"/>
      </w:r>
    </w:p>
    <w:p w14:paraId="7350FCAE">
      <w:pPr>
        <w:pStyle w:val="18"/>
        <w:pageBreakBefore w:val="0"/>
        <w:tabs>
          <w:tab w:val="right" w:leader="dot" w:pos="8307"/>
          <w:tab w:val="clear" w:pos="9061"/>
        </w:tabs>
        <w:kinsoku/>
        <w:wordWrap/>
        <w:overflowPunct/>
        <w:topLinePunct w:val="0"/>
        <w:autoSpaceDE/>
        <w:autoSpaceDN/>
        <w:bidi w:val="0"/>
        <w:spacing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_Toc24056 </w:instrText>
      </w:r>
      <w:r>
        <w:rPr>
          <w:rFonts w:hint="eastAsia" w:ascii="宋体" w:hAnsi="宋体" w:cs="宋体"/>
          <w:bCs/>
          <w:sz w:val="22"/>
          <w:szCs w:val="22"/>
          <w:highlight w:val="none"/>
        </w:rPr>
        <w:fldChar w:fldCharType="separate"/>
      </w:r>
      <w:r>
        <w:rPr>
          <w:rFonts w:hint="eastAsia" w:ascii="宋体" w:hAnsi="宋体" w:eastAsia="宋体" w:cs="宋体"/>
          <w:sz w:val="22"/>
          <w:szCs w:val="24"/>
          <w:highlight w:val="none"/>
        </w:rPr>
        <w:t>第六节 签订服务合同</w:t>
      </w:r>
      <w:r>
        <w:rPr>
          <w:sz w:val="22"/>
          <w:szCs w:val="22"/>
        </w:rPr>
        <w:tab/>
      </w:r>
      <w:r>
        <w:rPr>
          <w:sz w:val="22"/>
          <w:szCs w:val="22"/>
        </w:rPr>
        <w:fldChar w:fldCharType="begin"/>
      </w:r>
      <w:r>
        <w:rPr>
          <w:sz w:val="22"/>
          <w:szCs w:val="22"/>
        </w:rPr>
        <w:instrText xml:space="preserve"> PAGEREF _Toc24056 \h </w:instrText>
      </w:r>
      <w:r>
        <w:rPr>
          <w:sz w:val="22"/>
          <w:szCs w:val="22"/>
        </w:rPr>
        <w:fldChar w:fldCharType="separate"/>
      </w:r>
      <w:r>
        <w:rPr>
          <w:sz w:val="22"/>
          <w:szCs w:val="22"/>
        </w:rPr>
        <w:t>21</w:t>
      </w:r>
      <w:r>
        <w:rPr>
          <w:sz w:val="22"/>
          <w:szCs w:val="22"/>
        </w:rPr>
        <w:fldChar w:fldCharType="end"/>
      </w:r>
      <w:r>
        <w:rPr>
          <w:rFonts w:hint="eastAsia" w:ascii="宋体" w:hAnsi="宋体" w:cs="宋体"/>
          <w:bCs/>
          <w:color w:val="auto"/>
          <w:sz w:val="22"/>
          <w:szCs w:val="22"/>
          <w:highlight w:val="none"/>
        </w:rPr>
        <w:fldChar w:fldCharType="end"/>
      </w:r>
    </w:p>
    <w:p w14:paraId="75574593">
      <w:pPr>
        <w:pStyle w:val="28"/>
        <w:pageBreakBefore w:val="0"/>
        <w:tabs>
          <w:tab w:val="right" w:leader="dot" w:pos="8307"/>
          <w:tab w:val="clear" w:pos="9061"/>
        </w:tabs>
        <w:kinsoku/>
        <w:wordWrap/>
        <w:overflowPunct/>
        <w:topLinePunct w:val="0"/>
        <w:autoSpaceDE/>
        <w:autoSpaceDN/>
        <w:bidi w:val="0"/>
        <w:spacing w:beforeLines="0" w:afterLines="0" w:line="360" w:lineRule="auto"/>
        <w:ind w:left="0" w:leftChars="0"/>
        <w:textAlignment w:val="auto"/>
        <w:rPr>
          <w:sz w:val="22"/>
          <w:szCs w:val="22"/>
        </w:rPr>
      </w:pPr>
      <w:r>
        <w:rPr>
          <w:rFonts w:hint="eastAsia" w:ascii="宋体" w:hAnsi="宋体" w:cs="宋体"/>
          <w:bCs/>
          <w:color w:val="auto"/>
          <w:sz w:val="22"/>
          <w:szCs w:val="22"/>
          <w:highlight w:val="none"/>
        </w:rPr>
        <w:fldChar w:fldCharType="begin"/>
      </w:r>
      <w:r>
        <w:rPr>
          <w:rFonts w:hint="eastAsia" w:ascii="宋体" w:hAnsi="宋体" w:cs="宋体"/>
          <w:bCs/>
          <w:sz w:val="22"/>
          <w:szCs w:val="22"/>
          <w:highlight w:val="none"/>
        </w:rPr>
        <w:instrText xml:space="preserve"> HYPERLINK \l _Toc16383 </w:instrText>
      </w:r>
      <w:r>
        <w:rPr>
          <w:rFonts w:hint="eastAsia" w:ascii="宋体" w:hAnsi="宋体" w:cs="宋体"/>
          <w:bCs/>
          <w:sz w:val="22"/>
          <w:szCs w:val="22"/>
          <w:highlight w:val="none"/>
        </w:rPr>
        <w:fldChar w:fldCharType="separate"/>
      </w:r>
      <w:r>
        <w:rPr>
          <w:rFonts w:hint="eastAsia" w:ascii="宋体" w:hAnsi="宋体" w:eastAsia="宋体" w:cs="宋体"/>
          <w:sz w:val="22"/>
          <w:szCs w:val="22"/>
          <w:highlight w:val="none"/>
        </w:rPr>
        <w:t>第五章  合同条款</w:t>
      </w:r>
      <w:r>
        <w:rPr>
          <w:sz w:val="22"/>
          <w:szCs w:val="22"/>
        </w:rPr>
        <w:tab/>
      </w:r>
      <w:r>
        <w:rPr>
          <w:sz w:val="22"/>
          <w:szCs w:val="22"/>
        </w:rPr>
        <w:fldChar w:fldCharType="begin"/>
      </w:r>
      <w:r>
        <w:rPr>
          <w:sz w:val="22"/>
          <w:szCs w:val="22"/>
        </w:rPr>
        <w:instrText xml:space="preserve"> PAGEREF _Toc16383 \h </w:instrText>
      </w:r>
      <w:r>
        <w:rPr>
          <w:sz w:val="22"/>
          <w:szCs w:val="22"/>
        </w:rPr>
        <w:fldChar w:fldCharType="separate"/>
      </w:r>
      <w:r>
        <w:rPr>
          <w:sz w:val="22"/>
          <w:szCs w:val="22"/>
        </w:rPr>
        <w:t>22</w:t>
      </w:r>
      <w:r>
        <w:rPr>
          <w:sz w:val="22"/>
          <w:szCs w:val="22"/>
        </w:rPr>
        <w:fldChar w:fldCharType="end"/>
      </w:r>
      <w:r>
        <w:rPr>
          <w:rFonts w:hint="eastAsia" w:ascii="宋体" w:hAnsi="宋体" w:cs="宋体"/>
          <w:bCs/>
          <w:color w:val="auto"/>
          <w:sz w:val="22"/>
          <w:szCs w:val="22"/>
          <w:highlight w:val="none"/>
        </w:rPr>
        <w:fldChar w:fldCharType="end"/>
      </w:r>
    </w:p>
    <w:p w14:paraId="008FAD86">
      <w:pPr>
        <w:pStyle w:val="25"/>
        <w:pageBreakBefore w:val="0"/>
        <w:tabs>
          <w:tab w:val="right" w:leader="dot" w:pos="8307"/>
          <w:tab w:val="clear" w:pos="9061"/>
        </w:tabs>
        <w:kinsoku/>
        <w:wordWrap/>
        <w:overflowPunct/>
        <w:topLinePunct w:val="0"/>
        <w:autoSpaceDE/>
        <w:autoSpaceDN/>
        <w:bidi w:val="0"/>
        <w:spacing w:beforeLines="0" w:afterLines="0" w:line="360" w:lineRule="auto"/>
        <w:ind w:left="0" w:leftChars="0"/>
        <w:textAlignment w:val="auto"/>
        <w:rPr>
          <w:sz w:val="24"/>
          <w:szCs w:val="24"/>
        </w:rPr>
      </w:pPr>
      <w:r>
        <w:rPr>
          <w:rFonts w:hint="eastAsia" w:ascii="宋体" w:hAnsi="宋体" w:cs="宋体"/>
          <w:bCs/>
          <w:color w:val="auto"/>
          <w:sz w:val="24"/>
          <w:szCs w:val="24"/>
          <w:highlight w:val="none"/>
        </w:rPr>
        <w:fldChar w:fldCharType="begin"/>
      </w:r>
      <w:r>
        <w:rPr>
          <w:rFonts w:hint="eastAsia" w:ascii="宋体" w:hAnsi="宋体" w:cs="宋体"/>
          <w:bCs/>
          <w:sz w:val="24"/>
          <w:szCs w:val="24"/>
          <w:highlight w:val="none"/>
        </w:rPr>
        <w:instrText xml:space="preserve"> HYPERLINK \l _Toc18184 </w:instrText>
      </w:r>
      <w:r>
        <w:rPr>
          <w:rFonts w:hint="eastAsia" w:ascii="宋体" w:hAnsi="宋体" w:cs="宋体"/>
          <w:bCs/>
          <w:sz w:val="24"/>
          <w:szCs w:val="24"/>
          <w:highlight w:val="none"/>
        </w:rPr>
        <w:fldChar w:fldCharType="separate"/>
      </w:r>
      <w:r>
        <w:rPr>
          <w:rFonts w:hint="eastAsia" w:ascii="宋体" w:hAnsi="宋体" w:eastAsia="宋体" w:cs="宋体"/>
          <w:sz w:val="24"/>
          <w:szCs w:val="28"/>
          <w:highlight w:val="none"/>
        </w:rPr>
        <w:t>第三部分  响应文件编制规范</w:t>
      </w:r>
      <w:r>
        <w:rPr>
          <w:sz w:val="24"/>
          <w:szCs w:val="24"/>
        </w:rPr>
        <w:tab/>
      </w:r>
      <w:r>
        <w:rPr>
          <w:sz w:val="24"/>
          <w:szCs w:val="24"/>
        </w:rPr>
        <w:fldChar w:fldCharType="begin"/>
      </w:r>
      <w:r>
        <w:rPr>
          <w:sz w:val="24"/>
          <w:szCs w:val="24"/>
        </w:rPr>
        <w:instrText xml:space="preserve"> PAGEREF _Toc18184 \h </w:instrText>
      </w:r>
      <w:r>
        <w:rPr>
          <w:sz w:val="24"/>
          <w:szCs w:val="24"/>
        </w:rPr>
        <w:fldChar w:fldCharType="separate"/>
      </w:r>
      <w:r>
        <w:rPr>
          <w:sz w:val="24"/>
          <w:szCs w:val="24"/>
        </w:rPr>
        <w:t>25</w:t>
      </w:r>
      <w:r>
        <w:rPr>
          <w:sz w:val="24"/>
          <w:szCs w:val="24"/>
        </w:rPr>
        <w:fldChar w:fldCharType="end"/>
      </w:r>
      <w:r>
        <w:rPr>
          <w:rFonts w:hint="eastAsia" w:ascii="宋体" w:hAnsi="宋体" w:cs="宋体"/>
          <w:bCs/>
          <w:color w:val="auto"/>
          <w:sz w:val="24"/>
          <w:szCs w:val="24"/>
          <w:highlight w:val="none"/>
        </w:rPr>
        <w:fldChar w:fldCharType="end"/>
      </w:r>
    </w:p>
    <w:p w14:paraId="14DAF527">
      <w:pPr>
        <w:pageBreakBefore w:val="0"/>
        <w:widowControl w:val="0"/>
        <w:shd w:val="clear"/>
        <w:kinsoku/>
        <w:wordWrap/>
        <w:overflowPunct/>
        <w:topLinePunct w:val="0"/>
        <w:autoSpaceDE/>
        <w:autoSpaceDN/>
        <w:bidi w:val="0"/>
        <w:spacing w:line="360" w:lineRule="auto"/>
        <w:ind w:left="0" w:leftChars="0" w:firstLine="110" w:firstLineChars="50"/>
        <w:jc w:val="center"/>
        <w:textAlignment w:val="auto"/>
        <w:rPr>
          <w:rFonts w:hint="eastAsia" w:ascii="宋体" w:hAnsi="宋体" w:cs="宋体"/>
          <w:bCs/>
          <w:color w:val="auto"/>
          <w:highlight w:val="none"/>
        </w:rPr>
      </w:pPr>
      <w:r>
        <w:rPr>
          <w:rFonts w:hint="eastAsia" w:ascii="宋体" w:hAnsi="宋体" w:cs="宋体"/>
          <w:bCs/>
          <w:color w:val="auto"/>
          <w:sz w:val="22"/>
          <w:szCs w:val="22"/>
          <w:highlight w:val="none"/>
        </w:rPr>
        <w:fldChar w:fldCharType="end"/>
      </w:r>
    </w:p>
    <w:p w14:paraId="28A48279">
      <w:pPr>
        <w:pStyle w:val="2"/>
        <w:pageBreakBefore w:val="0"/>
        <w:widowControl w:val="0"/>
        <w:shd w:val="clear"/>
        <w:kinsoku/>
        <w:wordWrap/>
        <w:overflowPunct/>
        <w:topLinePunct w:val="0"/>
        <w:autoSpaceDE/>
        <w:autoSpaceDN/>
        <w:bidi w:val="0"/>
        <w:spacing w:line="360" w:lineRule="auto"/>
        <w:ind w:left="0" w:leftChars="0"/>
        <w:textAlignment w:val="auto"/>
        <w:rPr>
          <w:rFonts w:ascii="宋体" w:hAnsi="宋体" w:eastAsia="宋体" w:cs="宋体"/>
          <w:b/>
          <w:color w:val="auto"/>
          <w:highlight w:val="none"/>
        </w:rPr>
        <w:sectPr>
          <w:headerReference r:id="rId3" w:type="default"/>
          <w:footerReference r:id="rId4" w:type="default"/>
          <w:pgSz w:w="11907" w:h="16840"/>
          <w:pgMar w:top="1440" w:right="1800" w:bottom="1440" w:left="1800" w:header="720" w:footer="720" w:gutter="0"/>
          <w:pgNumType w:fmt="decimal" w:start="1"/>
          <w:cols w:space="720" w:num="1"/>
          <w:docGrid w:linePitch="326" w:charSpace="0"/>
        </w:sectPr>
      </w:pPr>
      <w:bookmarkStart w:id="4" w:name="_Toc406671674"/>
      <w:bookmarkStart w:id="5" w:name="_Toc406670710"/>
      <w:bookmarkStart w:id="6" w:name="_Toc406672380"/>
      <w:bookmarkStart w:id="7" w:name="_Toc406671082"/>
    </w:p>
    <w:p w14:paraId="120006B5">
      <w:pPr>
        <w:pStyle w:val="2"/>
        <w:widowControl w:val="0"/>
        <w:shd w:val="clear"/>
        <w:spacing w:line="360" w:lineRule="auto"/>
        <w:rPr>
          <w:rFonts w:ascii="宋体" w:hAnsi="宋体" w:eastAsia="宋体" w:cs="宋体"/>
          <w:b/>
          <w:color w:val="auto"/>
          <w:highlight w:val="none"/>
        </w:rPr>
      </w:pPr>
      <w:bookmarkStart w:id="8" w:name="_Toc3879"/>
      <w:bookmarkStart w:id="9" w:name="_Toc95128198"/>
      <w:bookmarkStart w:id="10" w:name="_Toc14463"/>
      <w:r>
        <w:rPr>
          <w:rFonts w:hint="eastAsia" w:ascii="宋体" w:hAnsi="宋体" w:eastAsia="宋体" w:cs="宋体"/>
          <w:b/>
          <w:color w:val="auto"/>
          <w:highlight w:val="none"/>
        </w:rPr>
        <w:t>第一部分  专用部分</w:t>
      </w:r>
      <w:bookmarkEnd w:id="4"/>
      <w:bookmarkEnd w:id="5"/>
      <w:bookmarkEnd w:id="6"/>
      <w:bookmarkEnd w:id="7"/>
      <w:bookmarkEnd w:id="8"/>
      <w:bookmarkEnd w:id="9"/>
      <w:bookmarkEnd w:id="10"/>
    </w:p>
    <w:p w14:paraId="54ADEC9B">
      <w:pPr>
        <w:pStyle w:val="3"/>
        <w:widowControl w:val="0"/>
        <w:shd w:val="clear"/>
        <w:spacing w:line="360" w:lineRule="auto"/>
        <w:rPr>
          <w:rFonts w:ascii="宋体" w:hAnsi="宋体" w:eastAsia="宋体" w:cs="宋体"/>
          <w:b/>
          <w:color w:val="auto"/>
          <w:highlight w:val="none"/>
        </w:rPr>
      </w:pPr>
      <w:bookmarkStart w:id="11" w:name="_Toc406670711"/>
      <w:bookmarkStart w:id="12" w:name="_Toc406671675"/>
      <w:bookmarkStart w:id="13" w:name="_Toc406672381"/>
      <w:bookmarkStart w:id="14" w:name="_Toc406671083"/>
      <w:bookmarkStart w:id="15" w:name="_Toc95128199"/>
      <w:bookmarkStart w:id="16" w:name="_Toc31680"/>
      <w:bookmarkStart w:id="17" w:name="_Toc12968"/>
      <w:r>
        <w:rPr>
          <w:rFonts w:hint="eastAsia" w:ascii="宋体" w:hAnsi="宋体" w:eastAsia="宋体" w:cs="宋体"/>
          <w:b/>
          <w:color w:val="auto"/>
          <w:highlight w:val="none"/>
        </w:rPr>
        <w:t>第一章　</w:t>
      </w:r>
      <w:bookmarkEnd w:id="11"/>
      <w:bookmarkEnd w:id="12"/>
      <w:bookmarkEnd w:id="13"/>
      <w:bookmarkEnd w:id="14"/>
      <w:r>
        <w:rPr>
          <w:rFonts w:hint="eastAsia" w:ascii="宋体" w:hAnsi="宋体" w:eastAsia="宋体" w:cs="宋体"/>
          <w:b/>
          <w:color w:val="auto"/>
          <w:highlight w:val="none"/>
        </w:rPr>
        <w:t>响应内容</w:t>
      </w:r>
      <w:bookmarkEnd w:id="15"/>
      <w:bookmarkEnd w:id="16"/>
      <w:bookmarkEnd w:id="17"/>
    </w:p>
    <w:p w14:paraId="58A9A823">
      <w:pPr>
        <w:widowControl w:val="0"/>
        <w:shd w:val="clear"/>
        <w:spacing w:line="360" w:lineRule="auto"/>
        <w:ind w:firstLine="482" w:firstLineChars="200"/>
        <w:rPr>
          <w:rFonts w:ascii="宋体" w:hAnsi="宋体" w:cs="宋体"/>
          <w:b/>
          <w:color w:val="auto"/>
          <w:highlight w:val="none"/>
        </w:rPr>
      </w:pPr>
      <w:bookmarkStart w:id="18" w:name="_Toc406670713"/>
      <w:r>
        <w:rPr>
          <w:rFonts w:hint="eastAsia" w:ascii="宋体" w:hAnsi="宋体" w:cs="宋体"/>
          <w:b/>
          <w:color w:val="auto"/>
          <w:highlight w:val="none"/>
        </w:rPr>
        <w:t>致：各比选参与人</w:t>
      </w:r>
    </w:p>
    <w:p w14:paraId="318C4E50">
      <w:pPr>
        <w:widowControl w:val="0"/>
        <w:shd w:val="clear"/>
        <w:spacing w:line="360" w:lineRule="auto"/>
        <w:ind w:firstLine="480" w:firstLineChars="200"/>
        <w:jc w:val="left"/>
        <w:rPr>
          <w:rFonts w:ascii="宋体" w:hAnsi="宋体" w:cs="宋体"/>
          <w:bCs/>
          <w:color w:val="auto"/>
          <w:highlight w:val="none"/>
        </w:rPr>
      </w:pPr>
      <w:r>
        <w:rPr>
          <w:rFonts w:hint="eastAsia"/>
          <w:color w:val="auto"/>
          <w:highlight w:val="none"/>
          <w:lang w:eastAsia="zh-CN"/>
        </w:rPr>
        <w:t>贵州阳光产权交易所有限公司关于毕节市某股权转让项目选择可行性研究报告技术支持服务机构</w:t>
      </w:r>
      <w:r>
        <w:rPr>
          <w:rFonts w:hint="eastAsia" w:ascii="宋体" w:hAnsi="宋体" w:cs="宋体"/>
          <w:bCs/>
          <w:color w:val="auto"/>
          <w:highlight w:val="none"/>
        </w:rPr>
        <w:t>。</w:t>
      </w:r>
    </w:p>
    <w:bookmarkEnd w:id="18"/>
    <w:p w14:paraId="2C77056F">
      <w:pPr>
        <w:numPr>
          <w:ilvl w:val="255"/>
          <w:numId w:val="0"/>
        </w:numPr>
        <w:shd w:val="clear"/>
        <w:spacing w:line="440" w:lineRule="exact"/>
        <w:ind w:firstLine="482" w:firstLineChars="200"/>
        <w:rPr>
          <w:rFonts w:ascii="宋体" w:hAnsi="宋体" w:cs="宋体"/>
          <w:bCs/>
          <w:color w:val="auto"/>
          <w:highlight w:val="none"/>
        </w:rPr>
      </w:pPr>
      <w:bookmarkStart w:id="19" w:name="_Toc406670715"/>
      <w:bookmarkStart w:id="20" w:name="_Toc406671086"/>
      <w:r>
        <w:rPr>
          <w:rFonts w:hint="eastAsia" w:ascii="宋体" w:hAnsi="宋体" w:cs="宋体"/>
          <w:b/>
          <w:highlight w:val="none"/>
        </w:rPr>
        <w:t>1.发布公告媒体：</w:t>
      </w:r>
    </w:p>
    <w:p w14:paraId="49BEEF31">
      <w:pPr>
        <w:shd w:val="clear"/>
        <w:spacing w:line="440" w:lineRule="exact"/>
        <w:ind w:firstLine="570"/>
        <w:rPr>
          <w:rFonts w:ascii="宋体" w:hAnsi="宋体" w:cs="宋体"/>
          <w:bCs/>
          <w:highlight w:val="none"/>
        </w:rPr>
      </w:pPr>
      <w:r>
        <w:rPr>
          <w:rFonts w:hint="eastAsia" w:ascii="宋体" w:hAnsi="宋体" w:cs="宋体"/>
          <w:bCs/>
          <w:color w:val="auto"/>
          <w:highlight w:val="none"/>
        </w:rPr>
        <w:t>贵州阳光产权交易所有限公司官网（</w:t>
      </w:r>
      <w:r>
        <w:rPr>
          <w:color w:val="auto"/>
          <w:highlight w:val="none"/>
        </w:rPr>
        <w:fldChar w:fldCharType="begin"/>
      </w:r>
      <w:r>
        <w:rPr>
          <w:color w:val="auto"/>
          <w:highlight w:val="none"/>
        </w:rPr>
        <w:instrText xml:space="preserve"> HYPERLINK "http://www.prechina.net/" </w:instrText>
      </w:r>
      <w:r>
        <w:rPr>
          <w:color w:val="auto"/>
          <w:highlight w:val="none"/>
        </w:rPr>
        <w:fldChar w:fldCharType="separate"/>
      </w:r>
      <w:r>
        <w:rPr>
          <w:rStyle w:val="41"/>
          <w:rFonts w:ascii="宋体" w:hAnsi="宋体" w:cs="宋体"/>
          <w:bCs/>
          <w:color w:val="auto"/>
          <w:highlight w:val="none"/>
        </w:rPr>
        <w:t>http://www.</w:t>
      </w:r>
      <w:r>
        <w:rPr>
          <w:rStyle w:val="41"/>
          <w:rFonts w:hint="eastAsia" w:ascii="宋体" w:hAnsi="宋体" w:cs="宋体"/>
          <w:bCs/>
          <w:color w:val="auto"/>
          <w:highlight w:val="none"/>
        </w:rPr>
        <w:t>prechina.net</w:t>
      </w:r>
      <w:r>
        <w:rPr>
          <w:rStyle w:val="41"/>
          <w:rFonts w:ascii="宋体" w:hAnsi="宋体" w:cs="宋体"/>
          <w:bCs/>
          <w:color w:val="auto"/>
          <w:highlight w:val="none"/>
        </w:rPr>
        <w:t>/</w:t>
      </w:r>
      <w:r>
        <w:rPr>
          <w:rStyle w:val="41"/>
          <w:rFonts w:ascii="宋体" w:hAnsi="宋体" w:cs="宋体"/>
          <w:bCs/>
          <w:color w:val="auto"/>
          <w:highlight w:val="none"/>
        </w:rPr>
        <w:fldChar w:fldCharType="end"/>
      </w:r>
      <w:r>
        <w:rPr>
          <w:rFonts w:ascii="宋体" w:hAnsi="宋体" w:cs="宋体"/>
          <w:bCs/>
          <w:color w:val="auto"/>
          <w:highlight w:val="none"/>
        </w:rPr>
        <w:t>）</w:t>
      </w:r>
    </w:p>
    <w:p w14:paraId="33D4A895">
      <w:pPr>
        <w:shd w:val="clear"/>
        <w:spacing w:line="440" w:lineRule="exact"/>
        <w:ind w:firstLine="482" w:firstLineChars="200"/>
        <w:rPr>
          <w:rFonts w:ascii="宋体" w:hAns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2.</w:t>
      </w:r>
      <w:r>
        <w:rPr>
          <w:rFonts w:ascii="宋体" w:hAnsi="宋体" w:cs="宋体"/>
          <w:b/>
          <w:color w:val="000000" w:themeColor="text1"/>
          <w:highlight w:val="none"/>
          <w14:textFill>
            <w14:solidFill>
              <w14:schemeClr w14:val="tx1"/>
            </w14:solidFill>
          </w14:textFill>
        </w:rPr>
        <w:t>获取</w:t>
      </w:r>
      <w:r>
        <w:rPr>
          <w:rFonts w:hint="eastAsia" w:ascii="宋体" w:hAnsi="宋体" w:cs="宋体"/>
          <w:b/>
          <w:color w:val="000000" w:themeColor="text1"/>
          <w:highlight w:val="none"/>
          <w:lang w:eastAsia="zh-CN"/>
          <w14:textFill>
            <w14:solidFill>
              <w14:schemeClr w14:val="tx1"/>
            </w14:solidFill>
          </w14:textFill>
        </w:rPr>
        <w:t>比选</w:t>
      </w:r>
      <w:r>
        <w:rPr>
          <w:rFonts w:ascii="宋体" w:hAnsi="宋体" w:cs="宋体"/>
          <w:b/>
          <w:color w:val="000000" w:themeColor="text1"/>
          <w:highlight w:val="none"/>
          <w14:textFill>
            <w14:solidFill>
              <w14:schemeClr w14:val="tx1"/>
            </w14:solidFill>
          </w14:textFill>
        </w:rPr>
        <w:t>文件时间</w:t>
      </w:r>
      <w:r>
        <w:rPr>
          <w:rFonts w:hint="eastAsia" w:ascii="宋体" w:hAnsi="宋体" w:cs="宋体"/>
          <w:b/>
          <w:color w:val="000000" w:themeColor="text1"/>
          <w:highlight w:val="none"/>
          <w14:textFill>
            <w14:solidFill>
              <w14:schemeClr w14:val="tx1"/>
            </w14:solidFill>
          </w14:textFill>
        </w:rPr>
        <w:t>：</w:t>
      </w:r>
    </w:p>
    <w:p w14:paraId="6EBDE8A5">
      <w:pPr>
        <w:shd w:val="clear"/>
        <w:spacing w:line="440" w:lineRule="exact"/>
        <w:ind w:firstLine="480" w:firstLineChars="200"/>
        <w:rPr>
          <w:rFonts w:ascii="宋体" w:hAnsi="宋体" w:cs="宋体"/>
          <w:bCs/>
          <w:highlight w:val="none"/>
        </w:rPr>
      </w:pPr>
      <w:r>
        <w:rPr>
          <w:rFonts w:hint="eastAsia" w:ascii="宋体" w:hAnsi="宋体" w:cs="宋体"/>
          <w:highlight w:val="none"/>
        </w:rPr>
        <w:t>以公告时间为准。如有变动，以变更公告或通知为准。</w:t>
      </w:r>
    </w:p>
    <w:p w14:paraId="61A3BE00">
      <w:pPr>
        <w:shd w:val="clear"/>
        <w:spacing w:line="440" w:lineRule="exact"/>
        <w:ind w:firstLine="482" w:firstLineChars="200"/>
        <w:rPr>
          <w:rFonts w:ascii="宋体" w:hAnsi="宋体" w:cs="宋体"/>
          <w:b/>
          <w:highlight w:val="none"/>
        </w:rPr>
      </w:pPr>
      <w:r>
        <w:rPr>
          <w:rFonts w:hint="eastAsia" w:ascii="宋体" w:hAnsi="宋体" w:cs="宋体"/>
          <w:b/>
          <w:highlight w:val="none"/>
        </w:rPr>
        <w:t>3.递交响应文件时间：</w:t>
      </w:r>
    </w:p>
    <w:p w14:paraId="5F7099AE">
      <w:pPr>
        <w:shd w:val="clear"/>
        <w:spacing w:line="440" w:lineRule="exact"/>
        <w:ind w:firstLine="480" w:firstLineChars="200"/>
        <w:rPr>
          <w:rFonts w:ascii="宋体" w:hAnsi="宋体" w:cs="宋体"/>
          <w:bCs/>
          <w:highlight w:val="none"/>
        </w:rPr>
      </w:pPr>
      <w:r>
        <w:rPr>
          <w:rFonts w:hint="eastAsia" w:ascii="宋体" w:hAnsi="宋体" w:cs="宋体"/>
          <w:bCs/>
          <w:highlight w:val="none"/>
        </w:rPr>
        <w:t>以本项目公告时间为准。</w:t>
      </w:r>
      <w:r>
        <w:rPr>
          <w:rFonts w:hint="eastAsia" w:ascii="宋体" w:hAnsi="宋体" w:cs="宋体"/>
          <w:highlight w:val="none"/>
        </w:rPr>
        <w:t>如有变动，以变更公告或通知为准。</w:t>
      </w:r>
    </w:p>
    <w:p w14:paraId="7218855E">
      <w:pPr>
        <w:shd w:val="clear"/>
        <w:spacing w:line="440" w:lineRule="exact"/>
        <w:ind w:firstLine="482" w:firstLineChars="200"/>
        <w:rPr>
          <w:rFonts w:ascii="宋体" w:hAnsi="宋体" w:cs="宋体"/>
          <w:b/>
          <w:highlight w:val="none"/>
        </w:rPr>
      </w:pPr>
      <w:r>
        <w:rPr>
          <w:rFonts w:hint="eastAsia" w:ascii="宋体" w:hAnsi="宋体" w:cs="宋体"/>
          <w:b/>
          <w:highlight w:val="none"/>
        </w:rPr>
        <w:t>4.</w:t>
      </w:r>
      <w:r>
        <w:rPr>
          <w:rFonts w:hint="eastAsia" w:ascii="宋体" w:hAnsi="宋体" w:cs="宋体"/>
          <w:b/>
          <w:highlight w:val="none"/>
          <w:lang w:eastAsia="zh-CN"/>
        </w:rPr>
        <w:t>比选</w:t>
      </w:r>
      <w:r>
        <w:rPr>
          <w:rFonts w:hint="eastAsia" w:ascii="宋体" w:hAnsi="宋体" w:cs="宋体"/>
          <w:b/>
          <w:highlight w:val="none"/>
        </w:rPr>
        <w:t>地点：</w:t>
      </w:r>
    </w:p>
    <w:p w14:paraId="320AD1A9">
      <w:pPr>
        <w:pStyle w:val="19"/>
        <w:shd w:val="clear"/>
        <w:spacing w:line="440" w:lineRule="exact"/>
        <w:ind w:firstLine="480" w:firstLineChars="200"/>
        <w:rPr>
          <w:rFonts w:hint="default" w:hAnsi="宋体" w:eastAsia="宋体" w:cs="宋体"/>
          <w:bCs/>
          <w:kern w:val="0"/>
          <w:sz w:val="24"/>
          <w:szCs w:val="24"/>
          <w:highlight w:val="none"/>
          <w:lang w:val="en-US" w:eastAsia="zh-CN"/>
        </w:rPr>
      </w:pPr>
      <w:r>
        <w:rPr>
          <w:rFonts w:hint="eastAsia" w:hAnsi="宋体" w:cs="宋体"/>
          <w:bCs/>
          <w:kern w:val="0"/>
          <w:sz w:val="24"/>
          <w:szCs w:val="24"/>
          <w:highlight w:val="none"/>
        </w:rPr>
        <w:t>贵州阳光产权交易所有限公司</w:t>
      </w:r>
      <w:r>
        <w:rPr>
          <w:rFonts w:hint="eastAsia" w:hAnsi="宋体" w:cs="宋体"/>
          <w:bCs/>
          <w:kern w:val="0"/>
          <w:sz w:val="24"/>
          <w:szCs w:val="24"/>
          <w:highlight w:val="none"/>
          <w:lang w:val="en-US" w:eastAsia="zh-CN"/>
        </w:rPr>
        <w:t>五</w:t>
      </w:r>
      <w:r>
        <w:rPr>
          <w:rFonts w:hint="eastAsia" w:hAnsi="宋体" w:cs="宋体"/>
          <w:bCs/>
          <w:kern w:val="0"/>
          <w:sz w:val="24"/>
          <w:szCs w:val="24"/>
          <w:highlight w:val="none"/>
        </w:rPr>
        <w:t>楼</w:t>
      </w:r>
      <w:r>
        <w:rPr>
          <w:rFonts w:hint="eastAsia" w:hAnsi="宋体" w:cs="宋体"/>
          <w:bCs/>
          <w:kern w:val="0"/>
          <w:sz w:val="24"/>
          <w:szCs w:val="24"/>
          <w:highlight w:val="none"/>
          <w:lang w:val="en-US" w:eastAsia="zh-CN"/>
        </w:rPr>
        <w:t>517室</w:t>
      </w:r>
    </w:p>
    <w:p w14:paraId="0BA762BA">
      <w:pPr>
        <w:shd w:val="clear"/>
        <w:spacing w:line="440" w:lineRule="exact"/>
        <w:ind w:firstLine="482" w:firstLineChars="200"/>
        <w:rPr>
          <w:rFonts w:ascii="宋体" w:hAnsi="宋体" w:cs="宋体"/>
          <w:b/>
          <w:highlight w:val="none"/>
        </w:rPr>
      </w:pPr>
      <w:r>
        <w:rPr>
          <w:rFonts w:hint="eastAsia" w:ascii="宋体" w:hAnsi="宋体" w:cs="宋体"/>
          <w:b/>
          <w:highlight w:val="none"/>
        </w:rPr>
        <w:t>5.</w:t>
      </w:r>
      <w:r>
        <w:rPr>
          <w:rFonts w:hint="eastAsia" w:ascii="宋体" w:hAnsi="宋体" w:cs="宋体"/>
          <w:b/>
          <w:highlight w:val="none"/>
          <w:lang w:eastAsia="zh-CN"/>
        </w:rPr>
        <w:t>比选</w:t>
      </w:r>
      <w:r>
        <w:rPr>
          <w:rFonts w:hint="eastAsia" w:ascii="宋体" w:hAnsi="宋体" w:cs="宋体"/>
          <w:b/>
          <w:highlight w:val="none"/>
        </w:rPr>
        <w:t>文件解释权</w:t>
      </w:r>
    </w:p>
    <w:p w14:paraId="13A51D68">
      <w:pPr>
        <w:shd w:val="clear"/>
        <w:spacing w:line="440" w:lineRule="exact"/>
        <w:ind w:firstLine="560"/>
        <w:rPr>
          <w:rFonts w:ascii="宋体" w:hAnsi="宋体" w:cs="宋体"/>
          <w:highlight w:val="none"/>
        </w:rPr>
      </w:pPr>
      <w:r>
        <w:rPr>
          <w:rFonts w:hint="eastAsia" w:ascii="宋体" w:hAnsi="宋体" w:cs="宋体"/>
          <w:highlight w:val="none"/>
        </w:rPr>
        <w:t>本项目</w:t>
      </w:r>
      <w:r>
        <w:rPr>
          <w:rFonts w:hint="eastAsia" w:ascii="宋体" w:hAnsi="宋体" w:cs="宋体"/>
          <w:highlight w:val="none"/>
          <w:lang w:eastAsia="zh-CN"/>
        </w:rPr>
        <w:t>比选</w:t>
      </w:r>
      <w:r>
        <w:rPr>
          <w:rFonts w:hint="eastAsia" w:ascii="宋体" w:hAnsi="宋体" w:cs="宋体"/>
          <w:highlight w:val="none"/>
        </w:rPr>
        <w:t>文件的最终解释权归采购人。</w:t>
      </w:r>
      <w:bookmarkEnd w:id="19"/>
      <w:bookmarkEnd w:id="20"/>
    </w:p>
    <w:p w14:paraId="3D972095">
      <w:pPr>
        <w:shd w:val="clear"/>
        <w:rPr>
          <w:rFonts w:asciiTheme="minorHAnsi" w:hAnsiTheme="minorHAnsi" w:cstheme="minorBidi"/>
          <w:color w:val="auto"/>
          <w:kern w:val="2"/>
          <w:sz w:val="21"/>
          <w:highlight w:val="none"/>
        </w:rPr>
      </w:pPr>
      <w:r>
        <w:rPr>
          <w:color w:val="auto"/>
          <w:highlight w:val="none"/>
        </w:rPr>
        <w:br w:type="page"/>
      </w:r>
    </w:p>
    <w:p w14:paraId="2D90D9D1">
      <w:pPr>
        <w:pStyle w:val="4"/>
        <w:widowControl w:val="0"/>
        <w:shd w:val="clear"/>
        <w:spacing w:line="360" w:lineRule="auto"/>
        <w:rPr>
          <w:rFonts w:ascii="宋体" w:hAnsi="宋体" w:cs="宋体"/>
          <w:color w:val="auto"/>
          <w:highlight w:val="none"/>
        </w:rPr>
      </w:pPr>
      <w:bookmarkStart w:id="21" w:name="_Toc10062"/>
      <w:bookmarkStart w:id="22" w:name="_Toc406672383"/>
      <w:bookmarkStart w:id="23" w:name="_Toc406671088"/>
      <w:bookmarkStart w:id="24" w:name="_Toc25263"/>
      <w:bookmarkStart w:id="25" w:name="_Toc406671678"/>
      <w:bookmarkStart w:id="26" w:name="_Toc95128200"/>
      <w:bookmarkStart w:id="27" w:name="_Toc406670717"/>
      <w:r>
        <w:rPr>
          <w:rFonts w:hint="eastAsia" w:ascii="宋体" w:hAnsi="宋体" w:eastAsia="宋体" w:cs="宋体"/>
          <w:b/>
          <w:color w:val="auto"/>
          <w:highlight w:val="none"/>
        </w:rPr>
        <w:t xml:space="preserve">第一节  </w:t>
      </w:r>
      <w:r>
        <w:rPr>
          <w:rFonts w:hint="eastAsia" w:ascii="宋体" w:hAnsi="宋体" w:eastAsia="宋体" w:cs="宋体"/>
          <w:b/>
          <w:color w:val="auto"/>
          <w:sz w:val="28"/>
          <w:szCs w:val="28"/>
          <w:highlight w:val="none"/>
        </w:rPr>
        <w:t>比选相关资料表</w:t>
      </w:r>
      <w:bookmarkEnd w:id="21"/>
      <w:bookmarkEnd w:id="22"/>
      <w:bookmarkEnd w:id="23"/>
      <w:bookmarkEnd w:id="24"/>
      <w:bookmarkEnd w:id="25"/>
      <w:bookmarkEnd w:id="26"/>
      <w:bookmarkEnd w:id="27"/>
    </w:p>
    <w:tbl>
      <w:tblPr>
        <w:tblStyle w:val="34"/>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6"/>
        <w:gridCol w:w="7088"/>
      </w:tblGrid>
      <w:tr w14:paraId="41137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17" w:type="dxa"/>
            <w:vAlign w:val="center"/>
          </w:tcPr>
          <w:p w14:paraId="55735F09">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序号</w:t>
            </w:r>
          </w:p>
        </w:tc>
        <w:tc>
          <w:tcPr>
            <w:tcW w:w="1446" w:type="dxa"/>
            <w:vAlign w:val="center"/>
          </w:tcPr>
          <w:p w14:paraId="4CE8CDED">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内  容</w:t>
            </w:r>
          </w:p>
        </w:tc>
        <w:tc>
          <w:tcPr>
            <w:tcW w:w="7088" w:type="dxa"/>
            <w:vAlign w:val="center"/>
          </w:tcPr>
          <w:p w14:paraId="698F3EF3">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说明与要求</w:t>
            </w:r>
          </w:p>
        </w:tc>
      </w:tr>
      <w:tr w14:paraId="53F65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59616C20">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1</w:t>
            </w:r>
          </w:p>
        </w:tc>
        <w:tc>
          <w:tcPr>
            <w:tcW w:w="1446" w:type="dxa"/>
            <w:vAlign w:val="center"/>
          </w:tcPr>
          <w:p w14:paraId="6048C6F3">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项目名称</w:t>
            </w:r>
          </w:p>
        </w:tc>
        <w:tc>
          <w:tcPr>
            <w:tcW w:w="7088" w:type="dxa"/>
            <w:vAlign w:val="center"/>
          </w:tcPr>
          <w:p w14:paraId="4E7B7D7F">
            <w:pPr>
              <w:widowControl w:val="0"/>
              <w:shd w:val="clear"/>
              <w:spacing w:line="360" w:lineRule="auto"/>
              <w:jc w:val="both"/>
              <w:rPr>
                <w:rFonts w:hint="eastAsia" w:ascii="宋体" w:hAnsi="宋体" w:eastAsia="宋体" w:cs="宋体"/>
                <w:color w:val="auto"/>
                <w:highlight w:val="none"/>
                <w:lang w:eastAsia="zh-CN"/>
              </w:rPr>
            </w:pPr>
            <w:r>
              <w:rPr>
                <w:rFonts w:hint="eastAsia" w:ascii="宋体" w:hAnsi="宋体"/>
                <w:color w:val="000000" w:themeColor="text1"/>
                <w:highlight w:val="none"/>
                <w:u w:val="none"/>
                <w:lang w:eastAsia="zh-CN"/>
                <w14:textFill>
                  <w14:solidFill>
                    <w14:schemeClr w14:val="tx1"/>
                  </w14:solidFill>
                </w14:textFill>
              </w:rPr>
              <w:t>贵州阳光产权交易所有限公司关于毕节市某股权转让项目选择可行性研究报告技术支持服务机构</w:t>
            </w:r>
          </w:p>
        </w:tc>
      </w:tr>
      <w:tr w14:paraId="4486E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7" w:type="dxa"/>
            <w:vAlign w:val="center"/>
          </w:tcPr>
          <w:p w14:paraId="4F9E6F8E">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2</w:t>
            </w:r>
          </w:p>
        </w:tc>
        <w:tc>
          <w:tcPr>
            <w:tcW w:w="1446" w:type="dxa"/>
            <w:vAlign w:val="center"/>
          </w:tcPr>
          <w:p w14:paraId="7FD403A5">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采购类别</w:t>
            </w:r>
          </w:p>
        </w:tc>
        <w:tc>
          <w:tcPr>
            <w:tcW w:w="7088" w:type="dxa"/>
            <w:vAlign w:val="center"/>
          </w:tcPr>
          <w:p w14:paraId="1BB0B764">
            <w:pPr>
              <w:widowControl w:val="0"/>
              <w:shd w:val="clear"/>
              <w:spacing w:line="360" w:lineRule="auto"/>
              <w:jc w:val="both"/>
              <w:rPr>
                <w:rFonts w:ascii="宋体" w:hAnsi="宋体" w:cs="宋体"/>
                <w:color w:val="auto"/>
                <w:highlight w:val="none"/>
              </w:rPr>
            </w:pPr>
            <w:r>
              <w:rPr>
                <w:rFonts w:hint="eastAsia" w:ascii="宋体" w:hAnsi="宋体" w:cs="宋体"/>
                <w:color w:val="auto"/>
                <w:highlight w:val="none"/>
              </w:rPr>
              <w:t>企业采购</w:t>
            </w:r>
          </w:p>
        </w:tc>
      </w:tr>
      <w:tr w14:paraId="59898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11FD38C6">
            <w:pPr>
              <w:widowControl w:val="0"/>
              <w:shd w:val="clear"/>
              <w:spacing w:line="360" w:lineRule="auto"/>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w:t>
            </w:r>
          </w:p>
        </w:tc>
        <w:tc>
          <w:tcPr>
            <w:tcW w:w="1446" w:type="dxa"/>
            <w:vAlign w:val="center"/>
          </w:tcPr>
          <w:p w14:paraId="5EB3AC44">
            <w:pPr>
              <w:widowControl w:val="0"/>
              <w:shd w:val="clear"/>
              <w:spacing w:line="360" w:lineRule="auto"/>
              <w:jc w:val="center"/>
              <w:rPr>
                <w:rFonts w:hint="eastAsia" w:ascii="宋体" w:hAnsi="宋体" w:cs="宋体"/>
                <w:color w:val="auto"/>
                <w:highlight w:val="none"/>
              </w:rPr>
            </w:pPr>
            <w:r>
              <w:rPr>
                <w:rFonts w:hint="eastAsia" w:ascii="宋体" w:hAnsi="宋体" w:cs="宋体"/>
                <w:color w:val="000000" w:themeColor="text1"/>
                <w:highlight w:val="none"/>
                <w14:textFill>
                  <w14:solidFill>
                    <w14:schemeClr w14:val="tx1"/>
                  </w14:solidFill>
                </w14:textFill>
              </w:rPr>
              <w:t>采购预算</w:t>
            </w:r>
          </w:p>
        </w:tc>
        <w:tc>
          <w:tcPr>
            <w:tcW w:w="7088" w:type="dxa"/>
            <w:vAlign w:val="center"/>
          </w:tcPr>
          <w:p w14:paraId="3724330E">
            <w:pPr>
              <w:widowControl w:val="0"/>
              <w:shd w:val="clear"/>
              <w:spacing w:line="360" w:lineRule="auto"/>
              <w:jc w:val="both"/>
              <w:rPr>
                <w:rFonts w:hint="default" w:ascii="宋体" w:hAnsi="宋体" w:eastAsia="宋体" w:cs="宋体"/>
                <w:color w:val="auto"/>
                <w:highlight w:val="none"/>
                <w:lang w:val="en-US" w:eastAsia="zh-CN"/>
              </w:rPr>
            </w:pPr>
            <w:r>
              <w:rPr>
                <w:rFonts w:hint="eastAsia" w:ascii="宋体" w:hAnsi="宋体" w:eastAsia="宋体" w:cs="宋体"/>
                <w:spacing w:val="0"/>
                <w:kern w:val="2"/>
                <w:sz w:val="24"/>
                <w:szCs w:val="24"/>
                <w:lang w:val="en-US" w:eastAsia="zh-CN" w:bidi="ar-SA"/>
              </w:rPr>
              <w:t>肆万捌仟元整</w:t>
            </w:r>
            <w:r>
              <w:rPr>
                <w:rFonts w:hint="eastAsia" w:ascii="宋体" w:hAnsi="宋体" w:cs="宋体"/>
                <w:color w:val="auto"/>
                <w:highlight w:val="none"/>
                <w:lang w:val="en-US" w:eastAsia="zh-CN"/>
              </w:rPr>
              <w:t>（¥</w:t>
            </w:r>
            <w:r>
              <w:rPr>
                <w:rFonts w:hint="eastAsia" w:ascii="宋体" w:hAnsi="宋体" w:eastAsia="宋体" w:cs="宋体"/>
                <w:spacing w:val="0"/>
                <w:kern w:val="2"/>
                <w:sz w:val="24"/>
                <w:szCs w:val="24"/>
                <w:lang w:val="en-US" w:eastAsia="zh-CN" w:bidi="ar-SA"/>
              </w:rPr>
              <w:t>48000</w:t>
            </w:r>
            <w:r>
              <w:rPr>
                <w:rFonts w:hint="eastAsia" w:ascii="宋体" w:hAnsi="宋体" w:cs="宋体"/>
                <w:color w:val="auto"/>
                <w:highlight w:val="none"/>
                <w:lang w:val="en-US" w:eastAsia="zh-CN"/>
              </w:rPr>
              <w:t>.00）</w:t>
            </w:r>
          </w:p>
        </w:tc>
      </w:tr>
      <w:tr w14:paraId="095C5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71B6D517">
            <w:pPr>
              <w:widowControl w:val="0"/>
              <w:shd w:val="clear"/>
              <w:spacing w:line="360" w:lineRule="auto"/>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4</w:t>
            </w:r>
          </w:p>
        </w:tc>
        <w:tc>
          <w:tcPr>
            <w:tcW w:w="1446" w:type="dxa"/>
            <w:vAlign w:val="center"/>
          </w:tcPr>
          <w:p w14:paraId="3AC564E1">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采购内容</w:t>
            </w:r>
          </w:p>
        </w:tc>
        <w:tc>
          <w:tcPr>
            <w:tcW w:w="7088" w:type="dxa"/>
            <w:vAlign w:val="center"/>
          </w:tcPr>
          <w:p w14:paraId="22214643">
            <w:pPr>
              <w:widowControl w:val="0"/>
              <w:shd w:val="clear"/>
              <w:spacing w:line="360" w:lineRule="auto"/>
              <w:jc w:val="both"/>
              <w:rPr>
                <w:rFonts w:ascii="宋体" w:hAnsi="宋体" w:cs="宋体"/>
                <w:bCs/>
                <w:color w:val="auto"/>
                <w:highlight w:val="none"/>
              </w:rPr>
            </w:pPr>
            <w:r>
              <w:rPr>
                <w:rFonts w:hint="eastAsia" w:ascii="宋体" w:hAnsi="宋体" w:cs="宋体"/>
                <w:highlight w:val="none"/>
              </w:rPr>
              <w:t>详见本文件第二章</w:t>
            </w:r>
          </w:p>
        </w:tc>
      </w:tr>
      <w:tr w14:paraId="26BA4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17" w:type="dxa"/>
            <w:vAlign w:val="center"/>
          </w:tcPr>
          <w:p w14:paraId="3CCFDDA9">
            <w:pPr>
              <w:widowControl w:val="0"/>
              <w:shd w:val="clear"/>
              <w:spacing w:line="360" w:lineRule="auto"/>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5</w:t>
            </w:r>
          </w:p>
        </w:tc>
        <w:tc>
          <w:tcPr>
            <w:tcW w:w="1446" w:type="dxa"/>
            <w:vAlign w:val="center"/>
          </w:tcPr>
          <w:p w14:paraId="23FA309F">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比选参与人</w:t>
            </w:r>
          </w:p>
          <w:p w14:paraId="1977721E">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资格要求</w:t>
            </w:r>
          </w:p>
        </w:tc>
        <w:tc>
          <w:tcPr>
            <w:tcW w:w="7088" w:type="dxa"/>
            <w:vAlign w:val="center"/>
          </w:tcPr>
          <w:p w14:paraId="58008DA2">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1.需具备并提供以下资料：</w:t>
            </w:r>
          </w:p>
          <w:p w14:paraId="1B376837">
            <w:pPr>
              <w:widowControl w:val="0"/>
              <w:shd w:val="clear"/>
              <w:spacing w:line="360" w:lineRule="auto"/>
              <w:jc w:val="both"/>
              <w:rPr>
                <w:rFonts w:hint="eastAsia" w:ascii="宋体" w:hAnsi="宋体" w:cs="宋体"/>
                <w:b/>
                <w:bCs/>
                <w:color w:val="auto"/>
                <w:highlight w:val="none"/>
                <w:lang w:val="en-US" w:eastAsia="zh-CN"/>
              </w:rPr>
            </w:pPr>
            <w:r>
              <w:rPr>
                <w:rFonts w:hint="eastAsia" w:ascii="宋体" w:hAnsi="宋体" w:cs="宋体"/>
                <w:b/>
                <w:bCs/>
                <w:color w:val="auto"/>
                <w:highlight w:val="none"/>
                <w:lang w:val="en-US" w:eastAsia="zh-CN"/>
              </w:rPr>
              <w:t xml:space="preserve">（一）具有独立承担民事责任的能力:须提供合法有效的营业执照或其他组织证照复印件； </w:t>
            </w:r>
          </w:p>
          <w:p w14:paraId="10C38F0A">
            <w:pPr>
              <w:widowControl w:val="0"/>
              <w:shd w:val="clear"/>
              <w:spacing w:line="360" w:lineRule="auto"/>
              <w:jc w:val="both"/>
              <w:rPr>
                <w:rFonts w:hint="eastAsia" w:ascii="宋体" w:hAnsi="宋体" w:cs="宋体"/>
                <w:b/>
                <w:bCs/>
                <w:color w:val="auto"/>
                <w:highlight w:val="none"/>
                <w:lang w:val="en-US" w:eastAsia="zh-CN"/>
              </w:rPr>
            </w:pPr>
            <w:r>
              <w:rPr>
                <w:rFonts w:hint="eastAsia" w:ascii="宋体" w:hAnsi="宋体" w:cs="宋体"/>
                <w:b/>
                <w:bCs/>
                <w:color w:val="auto"/>
                <w:highlight w:val="none"/>
                <w:lang w:val="en-US" w:eastAsia="zh-CN"/>
              </w:rPr>
              <w:t xml:space="preserve">（二）具有良好的商业信誉和健全的财务会计制度：供应商自行承诺，格式自拟并加盖供应商单位公章； </w:t>
            </w:r>
          </w:p>
          <w:p w14:paraId="41D1175A">
            <w:pPr>
              <w:widowControl w:val="0"/>
              <w:shd w:val="clear"/>
              <w:spacing w:line="360" w:lineRule="auto"/>
              <w:jc w:val="both"/>
              <w:rPr>
                <w:rFonts w:hint="eastAsia" w:ascii="宋体" w:hAnsi="宋体" w:cs="宋体"/>
                <w:b/>
                <w:bCs/>
                <w:color w:val="auto"/>
                <w:highlight w:val="none"/>
                <w:lang w:val="en-US" w:eastAsia="zh-CN"/>
              </w:rPr>
            </w:pPr>
            <w:r>
              <w:rPr>
                <w:rFonts w:hint="eastAsia" w:ascii="宋体" w:hAnsi="宋体" w:cs="宋体"/>
                <w:b/>
                <w:bCs/>
                <w:color w:val="auto"/>
                <w:highlight w:val="none"/>
                <w:lang w:val="en-US" w:eastAsia="zh-CN"/>
              </w:rPr>
              <w:t xml:space="preserve">（三）具备履行合同所必需的人员和专业技术能力（自行承诺加盖供应商单位公章。）； </w:t>
            </w:r>
          </w:p>
          <w:p w14:paraId="5A3A3DAF">
            <w:pPr>
              <w:widowControl w:val="0"/>
              <w:shd w:val="clear"/>
              <w:spacing w:line="360" w:lineRule="auto"/>
              <w:jc w:val="both"/>
              <w:rPr>
                <w:rFonts w:hint="eastAsia" w:ascii="宋体" w:hAnsi="宋体" w:cs="宋体"/>
                <w:b/>
                <w:bCs/>
                <w:color w:val="auto"/>
                <w:highlight w:val="none"/>
                <w:lang w:val="en-US" w:eastAsia="zh-CN"/>
              </w:rPr>
            </w:pPr>
            <w:r>
              <w:rPr>
                <w:rFonts w:hint="eastAsia" w:ascii="宋体" w:hAnsi="宋体" w:cs="宋体"/>
                <w:b/>
                <w:bCs/>
                <w:color w:val="auto"/>
                <w:highlight w:val="none"/>
                <w:lang w:val="en-US" w:eastAsia="zh-CN"/>
              </w:rPr>
              <w:t xml:space="preserve">（四）参加采购、招投标等活动近三年内，在经营活动中没有重大违法记录和行贿记录：提供参加本次采购活动前3年内在经营活动中没有重大违法记录和行贿记录的书面声明（自行承诺加盖供应商单位公章。）； </w:t>
            </w:r>
          </w:p>
          <w:p w14:paraId="4516AA28">
            <w:pPr>
              <w:widowControl w:val="0"/>
              <w:shd w:val="clear"/>
              <w:spacing w:line="360" w:lineRule="auto"/>
              <w:jc w:val="both"/>
              <w:rPr>
                <w:rFonts w:hint="eastAsia" w:ascii="宋体" w:hAnsi="宋体" w:cs="宋体"/>
                <w:b/>
                <w:bCs/>
                <w:color w:val="auto"/>
                <w:highlight w:val="none"/>
                <w:lang w:val="en-US" w:eastAsia="zh-CN"/>
              </w:rPr>
            </w:pPr>
            <w:r>
              <w:rPr>
                <w:rFonts w:hint="eastAsia" w:ascii="宋体" w:hAnsi="宋体" w:cs="宋体"/>
                <w:b/>
                <w:bCs/>
                <w:color w:val="auto"/>
                <w:highlight w:val="none"/>
                <w:lang w:val="en-US" w:eastAsia="zh-CN"/>
              </w:rPr>
              <w:t>（五）法律、行政法规规定的其他条件：供应商未在“信用中国”网站及国家企业信息公示系统上被列入失信被执行人、重大税收违法案件当事人名单、严重违法失信行为记录名单、行政处罚记录，如有被列入的情况，将视为无效响应；</w:t>
            </w:r>
          </w:p>
          <w:p w14:paraId="08A0CD14">
            <w:pPr>
              <w:widowControl w:val="0"/>
              <w:shd w:val="clear"/>
              <w:spacing w:line="360" w:lineRule="auto"/>
              <w:jc w:val="both"/>
              <w:rPr>
                <w:rFonts w:hint="eastAsia" w:ascii="宋体" w:hAnsi="宋体" w:cs="宋体"/>
                <w:b/>
                <w:bCs/>
                <w:color w:val="auto"/>
                <w:highlight w:val="none"/>
              </w:rPr>
            </w:pPr>
            <w:r>
              <w:rPr>
                <w:rFonts w:hint="eastAsia" w:ascii="宋体" w:hAnsi="宋体" w:cs="宋体"/>
                <w:b/>
                <w:bCs/>
                <w:color w:val="auto"/>
                <w:highlight w:val="none"/>
              </w:rPr>
              <w:t>2.本项目所需特殊行业资质或要求：无。</w:t>
            </w:r>
          </w:p>
          <w:p w14:paraId="4DDE45C6">
            <w:pPr>
              <w:widowControl w:val="0"/>
              <w:shd w:val="clear"/>
              <w:spacing w:line="360" w:lineRule="auto"/>
              <w:jc w:val="both"/>
              <w:rPr>
                <w:rFonts w:ascii="宋体" w:hAnsi="宋体" w:cs="宋体"/>
                <w:b/>
                <w:bCs/>
                <w:color w:val="auto"/>
                <w:highlight w:val="none"/>
              </w:rPr>
            </w:pPr>
            <w:r>
              <w:rPr>
                <w:rFonts w:hint="eastAsia" w:ascii="宋体" w:hAnsi="宋体" w:cs="宋体"/>
                <w:b/>
                <w:bCs/>
                <w:color w:val="auto"/>
                <w:highlight w:val="none"/>
                <w:lang w:val="en-US" w:eastAsia="zh-CN"/>
              </w:rPr>
              <w:t>3</w:t>
            </w:r>
            <w:r>
              <w:rPr>
                <w:rFonts w:hint="eastAsia" w:ascii="宋体" w:hAnsi="宋体" w:cs="宋体"/>
                <w:b/>
                <w:bCs/>
                <w:color w:val="auto"/>
                <w:highlight w:val="none"/>
              </w:rPr>
              <w:t>.本项目 不接受联合体参与。</w:t>
            </w:r>
          </w:p>
        </w:tc>
      </w:tr>
      <w:tr w14:paraId="21558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17" w:type="dxa"/>
            <w:vAlign w:val="center"/>
          </w:tcPr>
          <w:p w14:paraId="685C32C5">
            <w:pPr>
              <w:widowControl w:val="0"/>
              <w:shd w:val="clear"/>
              <w:spacing w:line="36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6</w:t>
            </w:r>
          </w:p>
        </w:tc>
        <w:tc>
          <w:tcPr>
            <w:tcW w:w="1446" w:type="dxa"/>
            <w:vAlign w:val="center"/>
          </w:tcPr>
          <w:p w14:paraId="01FF4D19">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比选保证金</w:t>
            </w:r>
          </w:p>
        </w:tc>
        <w:tc>
          <w:tcPr>
            <w:tcW w:w="7088" w:type="dxa"/>
            <w:vAlign w:val="center"/>
          </w:tcPr>
          <w:p w14:paraId="15D51E7B">
            <w:pPr>
              <w:shd w:val="clear"/>
              <w:spacing w:line="360" w:lineRule="auto"/>
              <w:rPr>
                <w:rFonts w:ascii="宋体" w:hAnsi="宋体" w:cs="宋体"/>
                <w:color w:val="auto"/>
                <w:highlight w:val="none"/>
              </w:rPr>
            </w:pPr>
            <w:r>
              <w:rPr>
                <w:rFonts w:hint="eastAsia" w:ascii="宋体" w:hAnsi="宋体" w:cs="宋体"/>
                <w:color w:val="auto"/>
                <w:highlight w:val="none"/>
                <w:lang w:val="en-US" w:eastAsia="zh-CN"/>
              </w:rPr>
              <w:t>无</w:t>
            </w:r>
          </w:p>
        </w:tc>
      </w:tr>
      <w:tr w14:paraId="38C72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817" w:type="dxa"/>
            <w:vAlign w:val="center"/>
          </w:tcPr>
          <w:p w14:paraId="727B0535">
            <w:pPr>
              <w:widowControl w:val="0"/>
              <w:shd w:val="clear"/>
              <w:spacing w:line="360" w:lineRule="auto"/>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1446" w:type="dxa"/>
            <w:vAlign w:val="center"/>
          </w:tcPr>
          <w:p w14:paraId="073B2F3A">
            <w:pPr>
              <w:widowControl w:val="0"/>
              <w:shd w:val="clear"/>
              <w:spacing w:line="360" w:lineRule="auto"/>
              <w:jc w:val="center"/>
              <w:rPr>
                <w:rFonts w:ascii="宋体" w:hAnsi="宋体" w:cs="宋体"/>
                <w:color w:val="auto"/>
                <w:highlight w:val="none"/>
              </w:rPr>
            </w:pPr>
            <w:r>
              <w:rPr>
                <w:rFonts w:hint="eastAsia" w:ascii="宋体" w:hAnsi="宋体" w:cs="宋体"/>
                <w:color w:val="000000" w:themeColor="text1"/>
                <w:highlight w:val="none"/>
                <w:lang w:val="en-US" w:eastAsia="zh-CN"/>
                <w14:textFill>
                  <w14:solidFill>
                    <w14:schemeClr w14:val="tx1"/>
                  </w14:solidFill>
                </w14:textFill>
              </w:rPr>
              <w:t>比选</w:t>
            </w:r>
            <w:r>
              <w:rPr>
                <w:rFonts w:hint="eastAsia" w:ascii="宋体" w:hAnsi="宋体" w:cs="宋体"/>
                <w:color w:val="000000" w:themeColor="text1"/>
                <w:highlight w:val="none"/>
                <w14:textFill>
                  <w14:solidFill>
                    <w14:schemeClr w14:val="tx1"/>
                  </w14:solidFill>
                </w14:textFill>
              </w:rPr>
              <w:t>报价</w:t>
            </w:r>
          </w:p>
        </w:tc>
        <w:tc>
          <w:tcPr>
            <w:tcW w:w="7088" w:type="dxa"/>
            <w:vAlign w:val="center"/>
          </w:tcPr>
          <w:p w14:paraId="4DDF9463">
            <w:pPr>
              <w:shd w:val="clear"/>
              <w:spacing w:line="360" w:lineRule="auto"/>
              <w:rPr>
                <w:rFonts w:ascii="宋体" w:hAnsi="宋体" w:cs="宋体"/>
                <w:color w:val="auto"/>
                <w:highlight w:val="none"/>
              </w:rPr>
            </w:pPr>
            <w:r>
              <w:rPr>
                <w:rFonts w:hint="eastAsia" w:ascii="宋体" w:hAnsi="宋体" w:cs="宋体"/>
                <w:color w:val="auto"/>
                <w:highlight w:val="none"/>
              </w:rPr>
              <w:t>报价为包干价，即</w:t>
            </w:r>
            <w:r>
              <w:rPr>
                <w:rFonts w:hint="eastAsia" w:ascii="宋体" w:hAnsi="宋体" w:cs="仿宋"/>
                <w:highlight w:val="none"/>
              </w:rPr>
              <w:t>完成本项目所需的所有费用</w:t>
            </w:r>
            <w:r>
              <w:rPr>
                <w:rFonts w:hint="eastAsia" w:ascii="宋体" w:hAnsi="宋体" w:cs="宋体"/>
                <w:color w:val="auto"/>
                <w:highlight w:val="none"/>
              </w:rPr>
              <w:t>，</w:t>
            </w:r>
            <w:r>
              <w:rPr>
                <w:rFonts w:hint="eastAsia" w:ascii="宋体" w:hAnsi="宋体" w:cs="宋体"/>
                <w:color w:val="auto"/>
                <w:highlight w:val="none"/>
                <w:lang w:val="en-US" w:eastAsia="zh-CN"/>
              </w:rPr>
              <w:t>采购</w:t>
            </w:r>
            <w:r>
              <w:rPr>
                <w:rFonts w:hint="eastAsia" w:ascii="宋体" w:hAnsi="宋体" w:cs="宋体"/>
                <w:color w:val="auto"/>
                <w:highlight w:val="none"/>
              </w:rPr>
              <w:t>人不另行支付在整体项目实施过程中产生的其他费用。</w:t>
            </w:r>
          </w:p>
          <w:p w14:paraId="14964CE8">
            <w:pPr>
              <w:shd w:val="clear"/>
              <w:spacing w:line="360" w:lineRule="auto"/>
              <w:rPr>
                <w:rFonts w:ascii="宋体" w:hAnsi="宋体" w:cs="宋体"/>
                <w:color w:val="auto"/>
                <w:highlight w:val="none"/>
              </w:rPr>
            </w:pPr>
            <w:r>
              <w:rPr>
                <w:rFonts w:hint="eastAsia" w:ascii="宋体" w:hAnsi="宋体" w:cs="宋体"/>
                <w:color w:val="auto"/>
                <w:highlight w:val="none"/>
                <w:lang w:val="en-US" w:eastAsia="zh-CN"/>
              </w:rPr>
              <w:t>注：</w:t>
            </w:r>
            <w:r>
              <w:rPr>
                <w:rFonts w:hint="eastAsia" w:ascii="宋体" w:hAnsi="宋体" w:cs="宋体"/>
                <w:color w:val="auto"/>
                <w:highlight w:val="none"/>
              </w:rPr>
              <w:t>响应报价须以人民币报价。</w:t>
            </w:r>
          </w:p>
        </w:tc>
      </w:tr>
      <w:tr w14:paraId="682DF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A871A4E">
            <w:pPr>
              <w:widowControl w:val="0"/>
              <w:shd w:val="clear"/>
              <w:spacing w:line="360" w:lineRule="auto"/>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8</w:t>
            </w:r>
          </w:p>
        </w:tc>
        <w:tc>
          <w:tcPr>
            <w:tcW w:w="1446" w:type="dxa"/>
            <w:vAlign w:val="bottom"/>
          </w:tcPr>
          <w:p w14:paraId="4D0E96EE">
            <w:pPr>
              <w:pStyle w:val="12"/>
              <w:shd w:val="clear"/>
              <w:spacing w:line="360" w:lineRule="auto"/>
              <w:ind w:firstLine="0" w:firstLineChars="0"/>
              <w:rPr>
                <w:rFonts w:ascii="Times New Roman" w:hAnsi="Times New Roman" w:cs="Times New Roman"/>
                <w:dstrike/>
                <w:color w:val="auto"/>
                <w:kern w:val="0"/>
                <w:sz w:val="24"/>
                <w:highlight w:val="none"/>
              </w:rPr>
            </w:pPr>
            <w:r>
              <w:rPr>
                <w:rFonts w:hint="eastAsia" w:ascii="宋体" w:hAnsi="宋体" w:cs="宋体"/>
                <w:color w:val="auto"/>
                <w:kern w:val="0"/>
                <w:sz w:val="24"/>
                <w:highlight w:val="none"/>
              </w:rPr>
              <w:t>评审办法及评分标准</w:t>
            </w:r>
          </w:p>
        </w:tc>
        <w:tc>
          <w:tcPr>
            <w:tcW w:w="7088" w:type="dxa"/>
            <w:vAlign w:val="center"/>
          </w:tcPr>
          <w:p w14:paraId="5900881A">
            <w:pPr>
              <w:widowControl w:val="0"/>
              <w:shd w:val="clear"/>
              <w:spacing w:line="360" w:lineRule="auto"/>
              <w:jc w:val="both"/>
              <w:rPr>
                <w:rFonts w:ascii="宋体" w:hAnsi="宋体" w:cs="宋体"/>
                <w:color w:val="auto"/>
                <w:highlight w:val="none"/>
              </w:rPr>
            </w:pPr>
            <w:r>
              <w:rPr>
                <w:rFonts w:hint="eastAsia" w:ascii="宋体" w:hAnsi="宋体" w:cs="宋体"/>
                <w:color w:val="auto"/>
                <w:highlight w:val="none"/>
              </w:rPr>
              <w:t>详见第三章评审办法及评分标准</w:t>
            </w:r>
          </w:p>
        </w:tc>
      </w:tr>
      <w:tr w14:paraId="5C5AF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1D386809">
            <w:pPr>
              <w:widowControl w:val="0"/>
              <w:shd w:val="clear"/>
              <w:spacing w:line="360" w:lineRule="auto"/>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9</w:t>
            </w:r>
          </w:p>
        </w:tc>
        <w:tc>
          <w:tcPr>
            <w:tcW w:w="1446" w:type="dxa"/>
            <w:vAlign w:val="center"/>
          </w:tcPr>
          <w:p w14:paraId="64E735FA">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代理服务费</w:t>
            </w:r>
          </w:p>
        </w:tc>
        <w:tc>
          <w:tcPr>
            <w:tcW w:w="7088" w:type="dxa"/>
            <w:vAlign w:val="center"/>
          </w:tcPr>
          <w:p w14:paraId="16BC6C5F">
            <w:pPr>
              <w:keepNext w:val="0"/>
              <w:keepLines w:val="0"/>
              <w:pageBreakBefore w:val="0"/>
              <w:widowControl w:val="0"/>
              <w:shd w:val="clear"/>
              <w:kinsoku/>
              <w:wordWrap/>
              <w:overflowPunct/>
              <w:topLinePunct w:val="0"/>
              <w:autoSpaceDE/>
              <w:autoSpaceDN/>
              <w:bidi w:val="0"/>
              <w:adjustRightInd/>
              <w:snapToGrid/>
              <w:spacing w:line="360" w:lineRule="auto"/>
              <w:jc w:val="both"/>
              <w:textAlignment w:val="auto"/>
              <w:rPr>
                <w:rFonts w:hint="default" w:eastAsia="宋体"/>
                <w:color w:val="auto"/>
                <w:highlight w:val="none"/>
                <w:lang w:val="en-US" w:eastAsia="zh-CN"/>
              </w:rPr>
            </w:pPr>
            <w:r>
              <w:rPr>
                <w:rFonts w:hint="eastAsia" w:ascii="宋体" w:hAnsi="宋体" w:cs="宋体"/>
                <w:color w:val="auto"/>
                <w:highlight w:val="none"/>
                <w:lang w:val="en-US" w:eastAsia="zh-CN"/>
              </w:rPr>
              <w:t>无</w:t>
            </w:r>
          </w:p>
        </w:tc>
      </w:tr>
      <w:tr w14:paraId="44C63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817" w:type="dxa"/>
            <w:vAlign w:val="center"/>
          </w:tcPr>
          <w:p w14:paraId="6F2BF715">
            <w:pPr>
              <w:widowControl w:val="0"/>
              <w:shd w:val="clear"/>
              <w:spacing w:line="360" w:lineRule="auto"/>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10</w:t>
            </w:r>
          </w:p>
        </w:tc>
        <w:tc>
          <w:tcPr>
            <w:tcW w:w="1446" w:type="dxa"/>
            <w:vAlign w:val="center"/>
          </w:tcPr>
          <w:p w14:paraId="24EB4428">
            <w:pPr>
              <w:widowControl w:val="0"/>
              <w:shd w:val="clear"/>
              <w:spacing w:line="36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比选有效期</w:t>
            </w:r>
          </w:p>
        </w:tc>
        <w:tc>
          <w:tcPr>
            <w:tcW w:w="7088" w:type="dxa"/>
            <w:vAlign w:val="center"/>
          </w:tcPr>
          <w:p w14:paraId="405D8751">
            <w:pPr>
              <w:widowControl w:val="0"/>
              <w:shd w:val="clear"/>
              <w:spacing w:line="360" w:lineRule="auto"/>
              <w:jc w:val="both"/>
              <w:rPr>
                <w:rFonts w:hint="default"/>
                <w:color w:val="auto"/>
                <w:highlight w:val="none"/>
                <w:lang w:val="en-US" w:eastAsia="zh-CN"/>
              </w:rPr>
            </w:pPr>
            <w:r>
              <w:rPr>
                <w:rFonts w:hint="eastAsia"/>
                <w:color w:val="auto"/>
                <w:highlight w:val="none"/>
                <w:lang w:val="en-US" w:eastAsia="zh-CN"/>
              </w:rPr>
              <w:t>90天</w:t>
            </w:r>
          </w:p>
        </w:tc>
      </w:tr>
      <w:tr w14:paraId="12987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1" w:hRule="atLeast"/>
          <w:jc w:val="center"/>
        </w:trPr>
        <w:tc>
          <w:tcPr>
            <w:tcW w:w="817" w:type="dxa"/>
            <w:vAlign w:val="center"/>
          </w:tcPr>
          <w:p w14:paraId="3B4BFE0B">
            <w:pPr>
              <w:widowControl w:val="0"/>
              <w:shd w:val="clear"/>
              <w:spacing w:line="36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11</w:t>
            </w:r>
          </w:p>
        </w:tc>
        <w:tc>
          <w:tcPr>
            <w:tcW w:w="1446" w:type="dxa"/>
            <w:vAlign w:val="center"/>
          </w:tcPr>
          <w:p w14:paraId="0E2E6020">
            <w:pPr>
              <w:widowControl w:val="0"/>
              <w:shd w:val="clear"/>
              <w:spacing w:line="360" w:lineRule="auto"/>
              <w:jc w:val="center"/>
              <w:rPr>
                <w:rFonts w:ascii="宋体" w:hAnsi="宋体" w:cs="宋体"/>
                <w:color w:val="auto"/>
                <w:highlight w:val="none"/>
              </w:rPr>
            </w:pPr>
            <w:r>
              <w:rPr>
                <w:rFonts w:hint="eastAsia" w:ascii="宋体" w:hAnsi="宋体" w:cs="宋体"/>
                <w:color w:val="auto"/>
                <w:highlight w:val="none"/>
              </w:rPr>
              <w:t>其他</w:t>
            </w:r>
          </w:p>
        </w:tc>
        <w:tc>
          <w:tcPr>
            <w:tcW w:w="7088" w:type="dxa"/>
            <w:vAlign w:val="center"/>
          </w:tcPr>
          <w:p w14:paraId="3311385C">
            <w:pPr>
              <w:widowControl w:val="0"/>
              <w:shd w:val="clear"/>
              <w:spacing w:line="360" w:lineRule="auto"/>
              <w:jc w:val="both"/>
              <w:rPr>
                <w:color w:val="auto"/>
                <w:highlight w:val="none"/>
              </w:rPr>
            </w:pPr>
            <w:r>
              <w:rPr>
                <w:rFonts w:hint="eastAsia"/>
                <w:color w:val="auto"/>
                <w:highlight w:val="none"/>
              </w:rPr>
              <w:t>1.比选参与人（亦称“</w:t>
            </w:r>
            <w:r>
              <w:rPr>
                <w:rFonts w:hint="eastAsia" w:ascii="宋体" w:hAnsi="宋体" w:cs="宋体"/>
                <w:color w:val="auto"/>
                <w:highlight w:val="none"/>
                <w:lang w:val="en-US" w:eastAsia="zh-CN"/>
              </w:rPr>
              <w:t>采购</w:t>
            </w:r>
            <w:r>
              <w:rPr>
                <w:rFonts w:hint="eastAsia" w:ascii="宋体" w:hAnsi="宋体" w:cs="宋体"/>
                <w:color w:val="auto"/>
                <w:highlight w:val="none"/>
              </w:rPr>
              <w:t>人</w:t>
            </w:r>
            <w:r>
              <w:rPr>
                <w:rFonts w:hint="eastAsia"/>
                <w:color w:val="auto"/>
                <w:highlight w:val="none"/>
              </w:rPr>
              <w:t>”或“供方”或“参选人”或“响应人”）</w:t>
            </w:r>
          </w:p>
          <w:p w14:paraId="25CA118B">
            <w:pPr>
              <w:widowControl w:val="0"/>
              <w:shd w:val="clear"/>
              <w:spacing w:line="360" w:lineRule="auto"/>
              <w:jc w:val="both"/>
              <w:rPr>
                <w:color w:val="auto"/>
                <w:highlight w:val="none"/>
              </w:rPr>
            </w:pPr>
            <w:r>
              <w:rPr>
                <w:rFonts w:hint="eastAsia"/>
                <w:color w:val="auto"/>
                <w:highlight w:val="none"/>
              </w:rPr>
              <w:t>2.响应文件（亦称 “报价书”或“报价文件”或“</w:t>
            </w:r>
            <w:r>
              <w:rPr>
                <w:rFonts w:hint="eastAsia"/>
                <w:color w:val="auto"/>
                <w:highlight w:val="none"/>
                <w:lang w:eastAsia="zh-CN"/>
              </w:rPr>
              <w:t>比选</w:t>
            </w:r>
            <w:r>
              <w:rPr>
                <w:rFonts w:hint="eastAsia"/>
                <w:color w:val="auto"/>
                <w:highlight w:val="none"/>
              </w:rPr>
              <w:t>文件”）</w:t>
            </w:r>
          </w:p>
          <w:p w14:paraId="6D32744D">
            <w:pPr>
              <w:widowControl w:val="0"/>
              <w:shd w:val="clear"/>
              <w:spacing w:line="360" w:lineRule="auto"/>
              <w:jc w:val="both"/>
              <w:rPr>
                <w:color w:val="auto"/>
                <w:highlight w:val="none"/>
              </w:rPr>
            </w:pPr>
            <w:r>
              <w:rPr>
                <w:rFonts w:hint="eastAsia"/>
                <w:color w:val="auto"/>
                <w:highlight w:val="none"/>
              </w:rPr>
              <w:t>3.比选文件（亦称“谈判文件”或“采购文件”）</w:t>
            </w:r>
          </w:p>
          <w:p w14:paraId="20CAC46A">
            <w:pPr>
              <w:widowControl w:val="0"/>
              <w:shd w:val="clear"/>
              <w:spacing w:line="360" w:lineRule="auto"/>
              <w:jc w:val="both"/>
              <w:rPr>
                <w:color w:val="auto"/>
                <w:highlight w:val="none"/>
              </w:rPr>
            </w:pPr>
            <w:r>
              <w:rPr>
                <w:rFonts w:hint="eastAsia"/>
                <w:color w:val="auto"/>
                <w:highlight w:val="none"/>
              </w:rPr>
              <w:t>4.文件中所要求电子文档介质可为光盘或U盘等。</w:t>
            </w:r>
          </w:p>
          <w:p w14:paraId="4DB95B12">
            <w:pPr>
              <w:widowControl w:val="0"/>
              <w:shd w:val="clear"/>
              <w:spacing w:line="360" w:lineRule="auto"/>
              <w:jc w:val="both"/>
              <w:rPr>
                <w:color w:val="auto"/>
                <w:highlight w:val="none"/>
              </w:rPr>
            </w:pPr>
            <w:r>
              <w:rPr>
                <w:rFonts w:hint="eastAsia"/>
                <w:color w:val="auto"/>
                <w:highlight w:val="none"/>
              </w:rPr>
              <w:t>5.如比选参与人响应比选文件并参加比选则视为对比选文件内容的完全响应，并理解本项目为企业采购活动。</w:t>
            </w:r>
          </w:p>
        </w:tc>
      </w:tr>
      <w:tr w14:paraId="5F8A0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248E99EE">
            <w:pPr>
              <w:widowControl w:val="0"/>
              <w:shd w:val="clear"/>
              <w:spacing w:line="36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12</w:t>
            </w:r>
          </w:p>
        </w:tc>
        <w:tc>
          <w:tcPr>
            <w:tcW w:w="1446" w:type="dxa"/>
            <w:vAlign w:val="center"/>
          </w:tcPr>
          <w:p w14:paraId="5777BB24">
            <w:pPr>
              <w:widowControl w:val="0"/>
              <w:shd w:val="clear"/>
              <w:adjustRightInd w:val="0"/>
              <w:snapToGrid w:val="0"/>
              <w:spacing w:line="360" w:lineRule="auto"/>
              <w:rPr>
                <w:rFonts w:ascii="宋体" w:hAnsi="宋体" w:cs="宋体"/>
                <w:color w:val="auto"/>
                <w:highlight w:val="none"/>
              </w:rPr>
            </w:pPr>
            <w:r>
              <w:rPr>
                <w:rFonts w:hint="eastAsia" w:ascii="宋体" w:hAnsi="宋体" w:cs="宋体"/>
                <w:color w:val="auto"/>
                <w:highlight w:val="none"/>
              </w:rPr>
              <w:t>其他要求</w:t>
            </w:r>
          </w:p>
        </w:tc>
        <w:tc>
          <w:tcPr>
            <w:tcW w:w="7088" w:type="dxa"/>
            <w:vAlign w:val="center"/>
          </w:tcPr>
          <w:p w14:paraId="6A876181">
            <w:pPr>
              <w:widowControl w:val="0"/>
              <w:shd w:val="clear"/>
              <w:adjustRightInd w:val="0"/>
              <w:snapToGrid w:val="0"/>
              <w:spacing w:line="360" w:lineRule="auto"/>
              <w:rPr>
                <w:rFonts w:ascii="宋体" w:hAnsi="宋体" w:cs="宋体"/>
                <w:color w:val="auto"/>
                <w:highlight w:val="none"/>
              </w:rPr>
            </w:pPr>
            <w:r>
              <w:rPr>
                <w:rFonts w:ascii="宋体" w:hAnsi="宋体" w:cs="宋体"/>
                <w:color w:val="auto"/>
                <w:highlight w:val="none"/>
              </w:rPr>
              <w:t>1</w:t>
            </w:r>
            <w:r>
              <w:rPr>
                <w:rFonts w:hint="eastAsia" w:ascii="宋体" w:hAnsi="宋体" w:cs="宋体"/>
                <w:color w:val="auto"/>
                <w:highlight w:val="none"/>
              </w:rPr>
              <w:t>.本项目</w:t>
            </w:r>
            <w:r>
              <w:rPr>
                <w:rFonts w:hint="eastAsia" w:ascii="宋体" w:hAnsi="宋体" w:cs="宋体"/>
                <w:color w:val="auto"/>
                <w:highlight w:val="none"/>
                <w:u w:val="single"/>
              </w:rPr>
              <w:t>不允许</w:t>
            </w:r>
            <w:r>
              <w:rPr>
                <w:rFonts w:hint="eastAsia" w:ascii="宋体" w:hAnsi="宋体" w:cs="宋体"/>
                <w:color w:val="auto"/>
                <w:highlight w:val="none"/>
              </w:rPr>
              <w:t>分包；</w:t>
            </w:r>
            <w:bookmarkStart w:id="28" w:name="_Toc95128205"/>
          </w:p>
          <w:p w14:paraId="4693966A">
            <w:pPr>
              <w:widowControl w:val="0"/>
              <w:shd w:val="clear"/>
              <w:adjustRightInd w:val="0"/>
              <w:snapToGrid w:val="0"/>
              <w:spacing w:line="360" w:lineRule="auto"/>
              <w:rPr>
                <w:rFonts w:ascii="宋体" w:hAnsi="宋体" w:cs="宋体"/>
                <w:color w:val="auto"/>
                <w:highlight w:val="none"/>
              </w:rPr>
            </w:pPr>
            <w:r>
              <w:rPr>
                <w:rFonts w:ascii="宋体" w:hAnsi="宋体" w:cs="宋体"/>
                <w:color w:val="auto"/>
                <w:highlight w:val="none"/>
              </w:rPr>
              <w:t>2</w:t>
            </w:r>
            <w:r>
              <w:rPr>
                <w:rFonts w:hint="eastAsia" w:ascii="宋体" w:hAnsi="宋体" w:cs="宋体"/>
                <w:color w:val="auto"/>
                <w:highlight w:val="none"/>
              </w:rPr>
              <w:t>.若在评审阶段，发现比选参与人提供的相关资料经查实为虚假的，将按无效标处理，不再进入下一阶段评审；</w:t>
            </w:r>
            <w:bookmarkEnd w:id="28"/>
            <w:bookmarkStart w:id="29" w:name="_Toc95128206"/>
          </w:p>
          <w:p w14:paraId="3AF11559">
            <w:pPr>
              <w:widowControl w:val="0"/>
              <w:shd w:val="clear"/>
              <w:spacing w:line="360" w:lineRule="auto"/>
              <w:jc w:val="both"/>
              <w:rPr>
                <w:color w:val="auto"/>
                <w:highlight w:val="none"/>
              </w:rPr>
            </w:pPr>
            <w:r>
              <w:rPr>
                <w:rFonts w:ascii="宋体" w:hAnsi="宋体" w:cs="宋体"/>
                <w:color w:val="auto"/>
                <w:highlight w:val="none"/>
              </w:rPr>
              <w:t>3</w:t>
            </w:r>
            <w:r>
              <w:rPr>
                <w:rFonts w:hint="eastAsia" w:ascii="宋体" w:hAnsi="宋体" w:cs="宋体"/>
                <w:color w:val="auto"/>
                <w:highlight w:val="none"/>
              </w:rPr>
              <w:t>.若发现中选单位因所提供的虚假资料而中选，将取消其中选资格</w:t>
            </w:r>
            <w:bookmarkEnd w:id="29"/>
            <w:r>
              <w:rPr>
                <w:rFonts w:hint="eastAsia" w:ascii="宋体" w:hAnsi="宋体" w:cs="宋体"/>
                <w:color w:val="auto"/>
                <w:highlight w:val="none"/>
              </w:rPr>
              <w:t>。</w:t>
            </w:r>
          </w:p>
        </w:tc>
      </w:tr>
    </w:tbl>
    <w:p w14:paraId="0B1A22BA">
      <w:pPr>
        <w:widowControl w:val="0"/>
        <w:shd w:val="clear"/>
        <w:spacing w:line="360" w:lineRule="auto"/>
        <w:rPr>
          <w:rFonts w:ascii="宋体" w:hAnsi="宋体" w:cs="宋体"/>
          <w:color w:val="auto"/>
          <w:highlight w:val="none"/>
        </w:rPr>
      </w:pPr>
    </w:p>
    <w:p w14:paraId="3337B3F0">
      <w:pPr>
        <w:rPr>
          <w:rFonts w:hint="eastAsia" w:ascii="宋体" w:hAnsi="宋体" w:eastAsia="宋体" w:cs="宋体"/>
          <w:b/>
          <w:color w:val="auto"/>
          <w:sz w:val="28"/>
          <w:szCs w:val="28"/>
          <w:highlight w:val="none"/>
        </w:rPr>
      </w:pPr>
      <w:bookmarkStart w:id="30" w:name="_Toc95128201"/>
      <w:r>
        <w:rPr>
          <w:rFonts w:hint="eastAsia" w:ascii="宋体" w:hAnsi="宋体" w:eastAsia="宋体" w:cs="宋体"/>
          <w:b/>
          <w:color w:val="auto"/>
          <w:sz w:val="28"/>
          <w:szCs w:val="28"/>
          <w:highlight w:val="none"/>
        </w:rPr>
        <w:br w:type="page"/>
      </w:r>
    </w:p>
    <w:p w14:paraId="2D6F2F6E">
      <w:pPr>
        <w:pStyle w:val="4"/>
        <w:widowControl w:val="0"/>
        <w:shd w:val="clear"/>
        <w:spacing w:line="360" w:lineRule="auto"/>
        <w:rPr>
          <w:rFonts w:ascii="宋体" w:hAnsi="宋体" w:eastAsia="宋体" w:cs="宋体"/>
          <w:b/>
          <w:color w:val="auto"/>
          <w:sz w:val="28"/>
          <w:szCs w:val="28"/>
          <w:highlight w:val="none"/>
        </w:rPr>
      </w:pPr>
      <w:bookmarkStart w:id="31" w:name="_Toc21455"/>
      <w:bookmarkStart w:id="32" w:name="_Toc27520"/>
      <w:r>
        <w:rPr>
          <w:rFonts w:hint="eastAsia" w:ascii="宋体" w:hAnsi="宋体" w:eastAsia="宋体" w:cs="宋体"/>
          <w:b/>
          <w:color w:val="auto"/>
          <w:sz w:val="28"/>
          <w:szCs w:val="28"/>
          <w:highlight w:val="none"/>
        </w:rPr>
        <w:t>第二节  须知</w:t>
      </w:r>
      <w:bookmarkEnd w:id="30"/>
      <w:bookmarkEnd w:id="31"/>
      <w:bookmarkEnd w:id="32"/>
    </w:p>
    <w:p w14:paraId="384BD112">
      <w:pPr>
        <w:widowControl w:val="0"/>
        <w:shd w:val="clear"/>
        <w:spacing w:line="360" w:lineRule="auto"/>
        <w:ind w:firstLine="301" w:firstLineChars="100"/>
        <w:jc w:val="center"/>
        <w:rPr>
          <w:rFonts w:ascii="宋体" w:hAnsi="宋体" w:cs="宋体"/>
          <w:b/>
          <w:color w:val="auto"/>
          <w:sz w:val="30"/>
          <w:szCs w:val="30"/>
          <w:highlight w:val="none"/>
        </w:rPr>
      </w:pPr>
      <w:r>
        <w:rPr>
          <w:rFonts w:hint="eastAsia" w:ascii="宋体" w:hAnsi="宋体" w:cs="宋体"/>
          <w:b/>
          <w:color w:val="auto"/>
          <w:sz w:val="30"/>
          <w:szCs w:val="30"/>
          <w:highlight w:val="none"/>
        </w:rPr>
        <w:t>响应文件编制要求</w:t>
      </w:r>
    </w:p>
    <w:p w14:paraId="5E203E1C">
      <w:pPr>
        <w:widowControl w:val="0"/>
        <w:shd w:val="clear"/>
        <w:spacing w:line="360" w:lineRule="auto"/>
        <w:ind w:firstLine="480" w:firstLineChars="200"/>
        <w:jc w:val="both"/>
        <w:rPr>
          <w:rFonts w:ascii="黑体" w:hAnsi="黑体" w:eastAsia="黑体" w:cs="黑体"/>
          <w:color w:val="auto"/>
          <w:highlight w:val="none"/>
        </w:rPr>
      </w:pPr>
      <w:r>
        <w:rPr>
          <w:rFonts w:hint="eastAsia" w:ascii="黑体" w:hAnsi="黑体" w:eastAsia="黑体" w:cs="黑体"/>
          <w:color w:val="auto"/>
          <w:highlight w:val="none"/>
        </w:rPr>
        <w:t>一、格式</w:t>
      </w:r>
    </w:p>
    <w:p w14:paraId="2FC96145">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1.响应文件及与响应有关的所有来往函电均使用中文简体字。原版为外文的证书类文件，以及由外籍人士做出的本人签名、外籍公司的名称或外籍印章等可以是外文，但应当提供中文翻译文件并加盖比选参与人公章。必要时比选小组可以要求比选参与人提供附有公证书的中文翻译文件或者与原版文件签章相一致的中文翻译文件。对于未附有中文译本和中文译本不准确引起的对比选参与人的不利后果，由比选参与人自行负责。</w:t>
      </w:r>
    </w:p>
    <w:p w14:paraId="1A56BF18">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2.响应文件中所使用的计量单位，除比选文件有要求的外，均使用国家法定计量单位。</w:t>
      </w:r>
    </w:p>
    <w:p w14:paraId="719AA34A">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3.响应文件中的图片资料、复印件</w:t>
      </w:r>
      <w:r>
        <w:rPr>
          <w:rFonts w:hint="eastAsia" w:ascii="宋体" w:hAnsi="宋体" w:cs="宋体"/>
          <w:bCs/>
          <w:color w:val="auto"/>
          <w:highlight w:val="none"/>
        </w:rPr>
        <w:t>（或扫描件）</w:t>
      </w:r>
      <w:r>
        <w:rPr>
          <w:rFonts w:hint="eastAsia" w:ascii="宋体" w:hAnsi="宋体" w:cs="宋体"/>
          <w:color w:val="auto"/>
          <w:highlight w:val="none"/>
        </w:rPr>
        <w:t>等应清晰可见，内容不得倒置、歪斜。由于响应文件不清晰或不利于阅读所造成的后果，由比选参与人自行负责。</w:t>
      </w:r>
    </w:p>
    <w:p w14:paraId="31C0EC3D">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4.除法定代表人或</w:t>
      </w:r>
      <w:r>
        <w:rPr>
          <w:rFonts w:hint="eastAsia" w:ascii="宋体" w:hAnsi="宋体" w:cs="宋体"/>
          <w:bCs/>
          <w:color w:val="auto"/>
          <w:highlight w:val="none"/>
        </w:rPr>
        <w:t>委托代理人</w:t>
      </w:r>
      <w:r>
        <w:rPr>
          <w:rFonts w:hint="eastAsia" w:ascii="宋体" w:hAnsi="宋体" w:cs="宋体"/>
          <w:b/>
          <w:bCs/>
          <w:color w:val="auto"/>
          <w:highlight w:val="none"/>
        </w:rPr>
        <w:t>签字、页码、响应文件包封封面</w:t>
      </w:r>
      <w:r>
        <w:rPr>
          <w:rFonts w:hint="eastAsia" w:ascii="宋体" w:hAnsi="宋体" w:cs="宋体"/>
          <w:color w:val="auto"/>
          <w:highlight w:val="none"/>
        </w:rPr>
        <w:t>可以手写外，其余所有响应文件内容须采用打印字体，禁止手写。</w:t>
      </w:r>
    </w:p>
    <w:p w14:paraId="7406EF47">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5.响应文件原则上应按比选文件提供的响应文件格式范本填写，比选文件中未提供格式范本的，由比选参与人自行编制。如格式出现不适用情形，可做适当修改。</w:t>
      </w:r>
    </w:p>
    <w:p w14:paraId="0F4DC004">
      <w:pPr>
        <w:widowControl w:val="0"/>
        <w:shd w:val="clear"/>
        <w:spacing w:line="360" w:lineRule="auto"/>
        <w:ind w:firstLine="480" w:firstLineChars="200"/>
        <w:jc w:val="both"/>
        <w:rPr>
          <w:rFonts w:ascii="黑体" w:hAnsi="黑体" w:eastAsia="黑体" w:cs="黑体"/>
          <w:color w:val="auto"/>
          <w:highlight w:val="none"/>
        </w:rPr>
      </w:pPr>
      <w:r>
        <w:rPr>
          <w:rFonts w:hint="eastAsia" w:ascii="黑体" w:hAnsi="黑体" w:eastAsia="黑体" w:cs="黑体"/>
          <w:color w:val="auto"/>
          <w:highlight w:val="none"/>
        </w:rPr>
        <w:t>二、装订</w:t>
      </w:r>
    </w:p>
    <w:p w14:paraId="28DAE337">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1.响应文件须胶装成册，不得采用活页、打孔等方式装订。</w:t>
      </w:r>
    </w:p>
    <w:p w14:paraId="391D63F3">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2.不推荐使用豪华装订，建议平装。但由于响应文件打印不清晰或不利于阅读所造成的后果，由比选参与人自行负责。</w:t>
      </w:r>
    </w:p>
    <w:p w14:paraId="73E67F14">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响应文件须用A4纸打印，按照比选文件规定，统一编目、编页码装订。超过A4幅，应以相应幅面打印，应折叠为A4幅大小后装订，比选文件有提供图册等其它要求的除外。由于编排混乱导致响应文件被误读或无法查找，由比选参与人自行承担责任。</w:t>
      </w:r>
    </w:p>
    <w:p w14:paraId="06B5C3BA">
      <w:pPr>
        <w:widowControl w:val="0"/>
        <w:shd w:val="clear"/>
        <w:spacing w:line="360" w:lineRule="auto"/>
        <w:ind w:firstLine="480" w:firstLineChars="200"/>
        <w:jc w:val="both"/>
        <w:rPr>
          <w:rFonts w:ascii="黑体" w:hAnsi="黑体" w:eastAsia="黑体" w:cs="黑体"/>
          <w:color w:val="auto"/>
          <w:highlight w:val="none"/>
        </w:rPr>
      </w:pPr>
      <w:r>
        <w:rPr>
          <w:rFonts w:hint="eastAsia" w:ascii="黑体" w:hAnsi="黑体" w:eastAsia="黑体" w:cs="黑体"/>
          <w:color w:val="auto"/>
          <w:highlight w:val="none"/>
        </w:rPr>
        <w:t>三、递交要求</w:t>
      </w:r>
    </w:p>
    <w:p w14:paraId="3C344312">
      <w:pPr>
        <w:widowControl w:val="0"/>
        <w:shd w:val="clear"/>
        <w:spacing w:line="360" w:lineRule="auto"/>
        <w:ind w:firstLine="480" w:firstLineChars="200"/>
        <w:jc w:val="both"/>
        <w:rPr>
          <w:rFonts w:ascii="宋体" w:hAnsi="宋体" w:cs="宋体"/>
          <w:b/>
          <w:bCs/>
          <w:color w:val="auto"/>
          <w:highlight w:val="none"/>
        </w:rPr>
      </w:pPr>
      <w:r>
        <w:rPr>
          <w:rFonts w:hint="eastAsia" w:ascii="宋体" w:hAnsi="宋体" w:cs="宋体"/>
          <w:color w:val="auto"/>
          <w:highlight w:val="none"/>
        </w:rPr>
        <w:t>响应文件包含：</w:t>
      </w:r>
      <w:r>
        <w:rPr>
          <w:rFonts w:hint="eastAsia" w:ascii="宋体" w:hAnsi="宋体" w:cs="宋体"/>
          <w:b/>
          <w:bCs/>
          <w:color w:val="auto"/>
          <w:highlight w:val="none"/>
          <w:lang w:val="en-US" w:eastAsia="zh-CN"/>
        </w:rPr>
        <w:t>一份纸质文件、一份电子档</w:t>
      </w:r>
      <w:r>
        <w:rPr>
          <w:rFonts w:hint="eastAsia" w:ascii="宋体" w:hAnsi="宋体" w:cs="宋体"/>
          <w:color w:val="auto"/>
          <w:highlight w:val="none"/>
        </w:rPr>
        <w:t>（</w:t>
      </w:r>
      <w:r>
        <w:rPr>
          <w:rFonts w:hint="eastAsia" w:ascii="宋体" w:hAnsi="宋体" w:cs="宋体"/>
          <w:color w:val="000000" w:themeColor="text1"/>
          <w:highlight w:val="none"/>
          <w14:textFill>
            <w14:solidFill>
              <w14:schemeClr w14:val="tx1"/>
            </w14:solidFill>
          </w14:textFill>
        </w:rPr>
        <w:t>供应商需以不加密的光盘/U盘提供</w:t>
      </w:r>
      <w:r>
        <w:rPr>
          <w:rFonts w:hint="eastAsia" w:ascii="宋体" w:hAnsi="宋体" w:cs="宋体"/>
          <w:color w:val="auto"/>
          <w:highlight w:val="none"/>
        </w:rPr>
        <w:t>），</w:t>
      </w:r>
      <w:r>
        <w:rPr>
          <w:rFonts w:hint="eastAsia" w:ascii="宋体" w:hAnsi="宋体" w:cs="宋体"/>
          <w:b/>
          <w:bCs/>
          <w:color w:val="auto"/>
          <w:highlight w:val="none"/>
        </w:rPr>
        <w:t>递交响应文件不完整的按无效标处理。</w:t>
      </w:r>
    </w:p>
    <w:p w14:paraId="31A6FE0A">
      <w:pPr>
        <w:widowControl w:val="0"/>
        <w:shd w:val="clear"/>
        <w:spacing w:line="360" w:lineRule="auto"/>
        <w:ind w:firstLine="480" w:firstLineChars="200"/>
        <w:jc w:val="both"/>
        <w:rPr>
          <w:rFonts w:ascii="黑体" w:hAnsi="黑体" w:eastAsia="黑体" w:cs="黑体"/>
          <w:color w:val="auto"/>
          <w:highlight w:val="none"/>
        </w:rPr>
      </w:pPr>
      <w:r>
        <w:rPr>
          <w:rFonts w:hint="eastAsia" w:ascii="黑体" w:hAnsi="黑体" w:eastAsia="黑体" w:cs="黑体"/>
          <w:color w:val="auto"/>
          <w:highlight w:val="none"/>
        </w:rPr>
        <w:t>四、签署与封装</w:t>
      </w:r>
    </w:p>
    <w:p w14:paraId="4F4BFB12">
      <w:pPr>
        <w:widowControl w:val="0"/>
        <w:shd w:val="clear"/>
        <w:spacing w:line="360" w:lineRule="auto"/>
        <w:ind w:firstLine="480" w:firstLineChars="200"/>
        <w:jc w:val="both"/>
        <w:rPr>
          <w:rFonts w:ascii="宋体" w:hAnsi="宋体" w:cs="宋体"/>
          <w:b/>
          <w:bCs/>
          <w:color w:val="auto"/>
          <w:highlight w:val="none"/>
        </w:rPr>
      </w:pPr>
      <w:r>
        <w:rPr>
          <w:rFonts w:hint="eastAsia" w:ascii="宋体" w:hAnsi="宋体" w:cs="宋体"/>
          <w:color w:val="auto"/>
          <w:highlight w:val="none"/>
        </w:rPr>
        <w:t>1. 响应文件不得涂改。响应文件</w:t>
      </w:r>
      <w:r>
        <w:rPr>
          <w:rFonts w:hint="eastAsia" w:ascii="宋体" w:hAnsi="宋体" w:cs="宋体"/>
          <w:b/>
          <w:color w:val="auto"/>
          <w:highlight w:val="none"/>
        </w:rPr>
        <w:t>需加盖封面章和骑缝章且</w:t>
      </w:r>
      <w:r>
        <w:rPr>
          <w:rFonts w:hint="eastAsia" w:ascii="宋体" w:hAnsi="宋体" w:cs="宋体"/>
          <w:b/>
          <w:bCs/>
          <w:color w:val="auto"/>
          <w:highlight w:val="none"/>
        </w:rPr>
        <w:t>文件使用的复印件（或扫描件）件均需加盖比选参与人公章</w:t>
      </w:r>
      <w:r>
        <w:rPr>
          <w:rFonts w:hint="eastAsia" w:ascii="宋体" w:hAnsi="宋体" w:cs="宋体"/>
          <w:color w:val="auto"/>
          <w:highlight w:val="none"/>
        </w:rPr>
        <w:t>。响应文件范本中注明需要签章的地方，比选参与人均须进行签章。</w:t>
      </w:r>
      <w:r>
        <w:rPr>
          <w:rFonts w:hint="eastAsia" w:ascii="宋体" w:hAnsi="宋体" w:cs="宋体"/>
          <w:b/>
          <w:bCs/>
          <w:color w:val="auto"/>
          <w:highlight w:val="none"/>
        </w:rPr>
        <w:t>未按要求签字及盖章的均按无实质性响应比选文件处理。</w:t>
      </w:r>
    </w:p>
    <w:p w14:paraId="5C48F6A1">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2.响应文件装入密封袋内，密封完整，封口（接口）处加盖响应单位公章。封装袋上注明项目名称、项目编号、比选参与人名称的字样。</w:t>
      </w:r>
    </w:p>
    <w:p w14:paraId="5317346C">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3.比选参与人可根据响应文件实际厚度，自行选择响应文件的外包封套的数量，对响应文件的外包封份数不作具体规定，但比选参与人应确保响应文件的外包封没有严重破损导致响应实质性内容泄露的情形。</w:t>
      </w:r>
    </w:p>
    <w:p w14:paraId="413BAE97">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4.外包封上有重复或多余标记，未对响应文件实质性响应产生影响的，不作无效响应依据。</w:t>
      </w:r>
    </w:p>
    <w:p w14:paraId="75963518">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5.比选参与人对外包封有异议的，应在递交文件现场当场提出，未当场提出异议，视为确认此程序无疑问。</w:t>
      </w:r>
    </w:p>
    <w:p w14:paraId="33EBD3AC">
      <w:pPr>
        <w:widowControl w:val="0"/>
        <w:shd w:val="clear"/>
        <w:spacing w:line="360" w:lineRule="auto"/>
        <w:ind w:firstLine="240" w:firstLineChars="100"/>
        <w:jc w:val="both"/>
        <w:rPr>
          <w:rFonts w:ascii="宋体" w:hAnsi="宋体" w:cs="宋体"/>
          <w:color w:val="auto"/>
          <w:highlight w:val="none"/>
        </w:rPr>
      </w:pPr>
    </w:p>
    <w:p w14:paraId="452ECB38">
      <w:pPr>
        <w:widowControl w:val="0"/>
        <w:shd w:val="clear"/>
        <w:spacing w:line="360" w:lineRule="auto"/>
        <w:rPr>
          <w:rFonts w:ascii="宋体" w:hAnsi="宋体" w:cs="宋体"/>
          <w:b/>
          <w:color w:val="auto"/>
          <w:szCs w:val="28"/>
          <w:highlight w:val="none"/>
        </w:rPr>
      </w:pPr>
      <w:bookmarkStart w:id="33" w:name="_Toc406671680"/>
      <w:bookmarkStart w:id="34" w:name="_Toc406672385"/>
      <w:bookmarkStart w:id="35" w:name="_Toc406670721"/>
      <w:bookmarkStart w:id="36" w:name="_Toc406671092"/>
      <w:r>
        <w:rPr>
          <w:rFonts w:hint="eastAsia" w:ascii="宋体" w:hAnsi="宋体" w:cs="宋体"/>
          <w:color w:val="auto"/>
          <w:highlight w:val="none"/>
        </w:rPr>
        <w:br w:type="page"/>
      </w:r>
    </w:p>
    <w:bookmarkEnd w:id="33"/>
    <w:bookmarkEnd w:id="34"/>
    <w:bookmarkEnd w:id="35"/>
    <w:bookmarkEnd w:id="36"/>
    <w:p w14:paraId="01D6ED67">
      <w:pPr>
        <w:pStyle w:val="3"/>
        <w:keepNext w:val="0"/>
        <w:keepLines w:val="0"/>
        <w:widowControl w:val="0"/>
        <w:shd w:val="clear"/>
        <w:spacing w:line="440" w:lineRule="exact"/>
        <w:rPr>
          <w:rFonts w:ascii="宋体" w:hAnsi="宋体" w:eastAsia="宋体" w:cs="宋体"/>
          <w:b/>
          <w:color w:val="000000" w:themeColor="text1"/>
          <w:sz w:val="28"/>
          <w:szCs w:val="28"/>
          <w:highlight w:val="none"/>
          <w14:textFill>
            <w14:solidFill>
              <w14:schemeClr w14:val="tx1"/>
            </w14:solidFill>
          </w14:textFill>
        </w:rPr>
      </w:pPr>
      <w:bookmarkStart w:id="37" w:name="_Toc26911"/>
      <w:bookmarkStart w:id="38" w:name="_Toc30496"/>
      <w:bookmarkStart w:id="39" w:name="_Toc15951"/>
      <w:bookmarkStart w:id="40" w:name="_Toc406670725"/>
      <w:bookmarkStart w:id="41" w:name="_Toc406671684"/>
      <w:bookmarkStart w:id="42" w:name="_Toc406671096"/>
      <w:bookmarkStart w:id="43" w:name="_Toc406672389"/>
      <w:r>
        <w:rPr>
          <w:rFonts w:hint="eastAsia" w:ascii="宋体" w:hAnsi="宋体" w:eastAsia="宋体" w:cs="宋体"/>
          <w:b/>
          <w:color w:val="000000" w:themeColor="text1"/>
          <w:szCs w:val="28"/>
          <w:highlight w:val="none"/>
          <w14:textFill>
            <w14:solidFill>
              <w14:schemeClr w14:val="tx1"/>
            </w14:solidFill>
          </w14:textFill>
        </w:rPr>
        <w:t>第二章　采购内容及商务要求</w:t>
      </w:r>
      <w:bookmarkEnd w:id="37"/>
      <w:bookmarkEnd w:id="38"/>
      <w:bookmarkEnd w:id="39"/>
    </w:p>
    <w:p w14:paraId="70FFAF74">
      <w:pPr>
        <w:pStyle w:val="4"/>
        <w:keepNext w:val="0"/>
        <w:keepLines w:val="0"/>
        <w:widowControl w:val="0"/>
        <w:shd w:val="clear"/>
        <w:spacing w:beforeLines="100"/>
        <w:rPr>
          <w:rStyle w:val="37"/>
          <w:rFonts w:ascii="黑体" w:hAnsi="黑体" w:eastAsia="黑体" w:cs="宋体"/>
          <w:bCs/>
          <w:color w:val="000000" w:themeColor="text1"/>
          <w:highlight w:val="none"/>
          <w14:textFill>
            <w14:solidFill>
              <w14:schemeClr w14:val="tx1"/>
            </w14:solidFill>
          </w14:textFill>
        </w:rPr>
      </w:pPr>
      <w:bookmarkStart w:id="44" w:name="_Toc1325"/>
      <w:bookmarkStart w:id="45" w:name="_Toc30014"/>
      <w:bookmarkStart w:id="46" w:name="_Toc31266"/>
      <w:r>
        <w:rPr>
          <w:rFonts w:hint="eastAsia" w:ascii="宋体" w:hAnsi="宋体" w:eastAsia="宋体" w:cs="宋体"/>
          <w:b/>
          <w:color w:val="000000" w:themeColor="text1"/>
          <w:sz w:val="28"/>
          <w:szCs w:val="28"/>
          <w:highlight w:val="none"/>
          <w14:textFill>
            <w14:solidFill>
              <w14:schemeClr w14:val="tx1"/>
            </w14:solidFill>
          </w14:textFill>
        </w:rPr>
        <w:t>第一节  采购</w:t>
      </w:r>
      <w:r>
        <w:rPr>
          <w:rFonts w:hint="eastAsia" w:ascii="宋体" w:hAnsi="宋体" w:eastAsia="宋体" w:cs="宋体"/>
          <w:b/>
          <w:color w:val="000000" w:themeColor="text1"/>
          <w:sz w:val="28"/>
          <w:szCs w:val="28"/>
          <w:highlight w:val="none"/>
          <w:lang w:val="en-US" w:eastAsia="zh-CN"/>
          <w14:textFill>
            <w14:solidFill>
              <w14:schemeClr w14:val="tx1"/>
            </w14:solidFill>
          </w14:textFill>
        </w:rPr>
        <w:t>内容</w:t>
      </w:r>
      <w:r>
        <w:rPr>
          <w:rFonts w:hint="eastAsia" w:ascii="宋体" w:hAnsi="宋体" w:eastAsia="宋体" w:cs="宋体"/>
          <w:b/>
          <w:color w:val="000000" w:themeColor="text1"/>
          <w:sz w:val="28"/>
          <w:szCs w:val="28"/>
          <w:highlight w:val="none"/>
          <w14:textFill>
            <w14:solidFill>
              <w14:schemeClr w14:val="tx1"/>
            </w14:solidFill>
          </w14:textFill>
        </w:rPr>
        <w:t>及</w:t>
      </w:r>
      <w:r>
        <w:rPr>
          <w:rFonts w:hint="eastAsia" w:ascii="宋体" w:hAnsi="宋体" w:eastAsia="宋体" w:cs="宋体"/>
          <w:b/>
          <w:color w:val="000000" w:themeColor="text1"/>
          <w:sz w:val="28"/>
          <w:szCs w:val="28"/>
          <w:highlight w:val="none"/>
          <w:lang w:val="en-US" w:eastAsia="zh-CN"/>
          <w14:textFill>
            <w14:solidFill>
              <w14:schemeClr w14:val="tx1"/>
            </w14:solidFill>
          </w14:textFill>
        </w:rPr>
        <w:t>服务</w:t>
      </w:r>
      <w:r>
        <w:rPr>
          <w:rFonts w:hint="eastAsia" w:ascii="宋体" w:hAnsi="宋体" w:eastAsia="宋体" w:cs="宋体"/>
          <w:b/>
          <w:color w:val="000000" w:themeColor="text1"/>
          <w:sz w:val="28"/>
          <w:szCs w:val="28"/>
          <w:highlight w:val="none"/>
          <w14:textFill>
            <w14:solidFill>
              <w14:schemeClr w14:val="tx1"/>
            </w14:solidFill>
          </w14:textFill>
        </w:rPr>
        <w:t>要求</w:t>
      </w:r>
      <w:bookmarkEnd w:id="44"/>
      <w:bookmarkEnd w:id="45"/>
      <w:bookmarkEnd w:id="46"/>
    </w:p>
    <w:p w14:paraId="34F84E98">
      <w:pPr>
        <w:widowControl w:val="0"/>
        <w:shd w:val="clear"/>
        <w:spacing w:line="440" w:lineRule="exact"/>
        <w:ind w:firstLine="480" w:firstLineChars="200"/>
        <w:jc w:val="both"/>
        <w:rPr>
          <w:rStyle w:val="37"/>
          <w:rFonts w:ascii="宋体" w:hAnsi="宋体" w:cs="宋体"/>
          <w:b w:val="0"/>
          <w:color w:val="000000" w:themeColor="text1"/>
          <w:highlight w:val="none"/>
          <w14:textFill>
            <w14:solidFill>
              <w14:schemeClr w14:val="tx1"/>
            </w14:solidFill>
          </w14:textFill>
        </w:rPr>
      </w:pPr>
    </w:p>
    <w:p w14:paraId="6AB76264">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rPr>
        <w:t>一、项目基本情况</w:t>
      </w:r>
    </w:p>
    <w:p w14:paraId="532AC493">
      <w:pPr>
        <w:numPr>
          <w:ilvl w:val="0"/>
          <w:numId w:val="0"/>
        </w:numPr>
        <w:spacing w:line="360" w:lineRule="auto"/>
        <w:ind w:firstLine="480" w:firstLineChars="200"/>
        <w:rPr>
          <w:rFonts w:hint="eastAsia" w:ascii="宋体" w:hAnsi="宋体" w:eastAsia="宋体" w:cs="宋体"/>
          <w:spacing w:val="0"/>
          <w:kern w:val="2"/>
          <w:sz w:val="24"/>
          <w:szCs w:val="24"/>
          <w:lang w:val="en-US" w:eastAsia="zh-CN" w:bidi="ar-SA"/>
        </w:rPr>
      </w:pPr>
      <w:r>
        <w:rPr>
          <w:rFonts w:hint="eastAsia" w:ascii="宋体" w:hAnsi="宋体" w:cs="宋体"/>
          <w:spacing w:val="0"/>
          <w:kern w:val="2"/>
          <w:sz w:val="24"/>
          <w:szCs w:val="24"/>
          <w:lang w:val="en-US" w:eastAsia="zh-CN" w:bidi="ar-SA"/>
        </w:rPr>
        <w:t>贵州阳光产权交易所有限公司拟选择1家</w:t>
      </w:r>
      <w:r>
        <w:rPr>
          <w:rFonts w:hint="eastAsia" w:ascii="宋体" w:hAnsi="宋体" w:cs="宋体"/>
          <w:color w:val="auto"/>
          <w:kern w:val="2"/>
          <w:sz w:val="24"/>
          <w:szCs w:val="24"/>
          <w:highlight w:val="none"/>
          <w:u w:val="none"/>
          <w:lang w:eastAsia="zh-CN"/>
        </w:rPr>
        <w:t>可行性研究报告技术支持服务机构</w:t>
      </w:r>
      <w:r>
        <w:rPr>
          <w:rFonts w:hint="eastAsia" w:ascii="宋体" w:hAnsi="宋体" w:cs="宋体"/>
          <w:spacing w:val="0"/>
          <w:kern w:val="2"/>
          <w:sz w:val="24"/>
          <w:szCs w:val="24"/>
          <w:lang w:val="en-US" w:eastAsia="zh-CN" w:bidi="ar-SA"/>
        </w:rPr>
        <w:t>，为毕节市某股权转让项目提供</w:t>
      </w:r>
      <w:r>
        <w:rPr>
          <w:rFonts w:hint="eastAsia" w:ascii="宋体" w:hAnsi="宋体" w:eastAsia="宋体" w:cs="宋体"/>
          <w:spacing w:val="0"/>
          <w:kern w:val="2"/>
          <w:sz w:val="24"/>
          <w:szCs w:val="24"/>
          <w:lang w:val="en-US" w:eastAsia="zh-CN" w:bidi="ar-SA"/>
        </w:rPr>
        <w:t>相关服务内容</w:t>
      </w:r>
      <w:r>
        <w:rPr>
          <w:rFonts w:hint="eastAsia" w:ascii="宋体" w:hAnsi="宋体" w:cs="宋体"/>
          <w:spacing w:val="0"/>
          <w:kern w:val="2"/>
          <w:sz w:val="24"/>
          <w:szCs w:val="24"/>
          <w:lang w:val="en-US" w:eastAsia="zh-CN" w:bidi="ar-SA"/>
        </w:rPr>
        <w:t>。</w:t>
      </w:r>
    </w:p>
    <w:p w14:paraId="3C83D151">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rPr>
        <w:t>二、工作内容：</w:t>
      </w:r>
    </w:p>
    <w:p w14:paraId="75FBE2AA">
      <w:pPr>
        <w:widowControl w:val="0"/>
        <w:numPr>
          <w:ilvl w:val="0"/>
          <w:numId w:val="0"/>
        </w:numPr>
        <w:shd w:val="clear"/>
        <w:spacing w:line="360" w:lineRule="auto"/>
        <w:ind w:firstLine="480" w:firstLineChars="200"/>
        <w:jc w:val="both"/>
        <w:rPr>
          <w:rFonts w:hint="eastAsia" w:ascii="宋体" w:hAnsi="宋体" w:cs="宋体"/>
          <w:color w:val="auto"/>
          <w:highlight w:val="none"/>
          <w:lang w:val="en-US" w:eastAsia="zh-CN"/>
        </w:rPr>
      </w:pPr>
      <w:r>
        <w:rPr>
          <w:rFonts w:hint="eastAsia" w:ascii="宋体" w:hAnsi="宋体" w:cs="宋体"/>
          <w:color w:val="auto"/>
          <w:highlight w:val="none"/>
          <w:lang w:val="en-US" w:eastAsia="zh-CN"/>
        </w:rPr>
        <w:t>提供本项目可行性研究报告编制及相关技术咨询服务。</w:t>
      </w:r>
    </w:p>
    <w:p w14:paraId="7BEC2293">
      <w:pPr>
        <w:widowControl w:val="0"/>
        <w:numPr>
          <w:ilvl w:val="0"/>
          <w:numId w:val="0"/>
        </w:numPr>
        <w:shd w:val="clear"/>
        <w:spacing w:line="360" w:lineRule="auto"/>
        <w:ind w:firstLine="480" w:firstLineChars="200"/>
        <w:jc w:val="both"/>
        <w:rPr>
          <w:rFonts w:hint="eastAsia" w:ascii="宋体" w:hAnsi="宋体" w:cs="宋体"/>
          <w:color w:val="auto"/>
          <w:highlight w:val="none"/>
          <w:lang w:val="en-US" w:eastAsia="zh-CN"/>
        </w:rPr>
      </w:pPr>
      <w:r>
        <w:rPr>
          <w:rFonts w:hint="eastAsia" w:ascii="宋体" w:hAnsi="宋体" w:cs="宋体"/>
          <w:color w:val="auto"/>
          <w:highlight w:val="none"/>
          <w:lang w:val="en-US" w:eastAsia="zh-CN"/>
        </w:rPr>
        <w:t>三、服务要求</w:t>
      </w:r>
    </w:p>
    <w:p w14:paraId="74FCBB44">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lang w:val="en-US" w:eastAsia="zh-CN"/>
        </w:rPr>
        <w:t>需满足国家法律及各地区相关要求。</w:t>
      </w:r>
    </w:p>
    <w:p w14:paraId="3D88EA69">
      <w:pPr>
        <w:widowControl w:val="0"/>
        <w:shd w:val="clear"/>
        <w:spacing w:line="360" w:lineRule="auto"/>
        <w:ind w:firstLine="480" w:firstLineChars="200"/>
        <w:jc w:val="both"/>
        <w:rPr>
          <w:rFonts w:hint="eastAsia" w:ascii="宋体" w:hAnsi="宋体" w:cs="宋体"/>
          <w:color w:val="auto"/>
          <w:highlight w:val="none"/>
        </w:rPr>
      </w:pPr>
    </w:p>
    <w:p w14:paraId="47B2B967">
      <w:pPr>
        <w:widowControl w:val="0"/>
        <w:shd w:val="clear"/>
        <w:spacing w:line="360" w:lineRule="auto"/>
        <w:ind w:firstLine="480" w:firstLineChars="200"/>
        <w:jc w:val="both"/>
        <w:rPr>
          <w:rFonts w:hint="eastAsia" w:ascii="宋体" w:hAnsi="宋体" w:cs="宋体"/>
          <w:color w:val="auto"/>
          <w:highlight w:val="none"/>
        </w:rPr>
      </w:pPr>
    </w:p>
    <w:p w14:paraId="3574E225">
      <w:pPr>
        <w:widowControl w:val="0"/>
        <w:shd w:val="clear"/>
        <w:spacing w:line="360" w:lineRule="auto"/>
        <w:ind w:firstLine="562" w:firstLineChars="200"/>
        <w:jc w:val="both"/>
        <w:rPr>
          <w:rFonts w:hint="eastAsia" w:ascii="宋体" w:hAnsi="宋体" w:eastAsia="宋体" w:cs="宋体"/>
          <w:b/>
          <w:bCs/>
          <w:color w:val="000000" w:themeColor="text1"/>
          <w:sz w:val="28"/>
          <w:szCs w:val="28"/>
          <w:highlight w:val="none"/>
          <w:lang w:val="en-US" w:eastAsia="zh-CN" w:bidi="ar-SA"/>
          <w14:textFill>
            <w14:solidFill>
              <w14:schemeClr w14:val="tx1"/>
            </w14:solidFill>
          </w14:textFill>
        </w:rPr>
      </w:pPr>
    </w:p>
    <w:p w14:paraId="27DFB1F5">
      <w:pPr>
        <w:rPr>
          <w:rFonts w:hint="eastAsia" w:ascii="宋体" w:hAnsi="宋体" w:eastAsia="宋体" w:cs="宋体"/>
          <w:b/>
          <w:bCs/>
          <w:color w:val="000000" w:themeColor="text1"/>
          <w:sz w:val="28"/>
          <w:szCs w:val="28"/>
          <w:highlight w:val="none"/>
          <w:lang w:val="en-US" w:eastAsia="zh-CN" w:bidi="ar-SA"/>
          <w14:textFill>
            <w14:solidFill>
              <w14:schemeClr w14:val="tx1"/>
            </w14:solidFill>
          </w14:textFill>
        </w:rPr>
      </w:pPr>
      <w:bookmarkStart w:id="47" w:name="_Toc12836"/>
      <w:r>
        <w:rPr>
          <w:rFonts w:hint="eastAsia" w:ascii="宋体" w:hAnsi="宋体" w:eastAsia="宋体" w:cs="宋体"/>
          <w:b/>
          <w:bCs/>
          <w:color w:val="000000" w:themeColor="text1"/>
          <w:sz w:val="28"/>
          <w:szCs w:val="28"/>
          <w:highlight w:val="none"/>
          <w:lang w:val="en-US" w:eastAsia="zh-CN" w:bidi="ar-SA"/>
          <w14:textFill>
            <w14:solidFill>
              <w14:schemeClr w14:val="tx1"/>
            </w14:solidFill>
          </w14:textFill>
        </w:rPr>
        <w:br w:type="page"/>
      </w:r>
    </w:p>
    <w:p w14:paraId="09E0EDBB">
      <w:pPr>
        <w:pStyle w:val="4"/>
        <w:widowControl w:val="0"/>
        <w:shd w:val="clear"/>
        <w:spacing w:beforeLines="100" w:line="360" w:lineRule="auto"/>
        <w:ind w:firstLineChars="1200"/>
        <w:jc w:val="both"/>
        <w:rPr>
          <w:rFonts w:hint="eastAsia" w:ascii="宋体" w:hAnsi="宋体" w:eastAsia="宋体" w:cs="宋体"/>
          <w:b/>
          <w:bCs/>
          <w:color w:val="000000" w:themeColor="text1"/>
          <w:sz w:val="28"/>
          <w:szCs w:val="28"/>
          <w:highlight w:val="none"/>
          <w:lang w:val="en-US" w:eastAsia="zh-CN" w:bidi="ar-SA"/>
          <w14:textFill>
            <w14:solidFill>
              <w14:schemeClr w14:val="tx1"/>
            </w14:solidFill>
          </w14:textFill>
        </w:rPr>
      </w:pPr>
      <w:bookmarkStart w:id="48" w:name="_Toc13288"/>
      <w:bookmarkStart w:id="49" w:name="_Toc6752"/>
      <w:r>
        <w:rPr>
          <w:rFonts w:hint="eastAsia" w:ascii="宋体" w:hAnsi="宋体" w:eastAsia="宋体" w:cs="宋体"/>
          <w:b/>
          <w:bCs/>
          <w:color w:val="000000" w:themeColor="text1"/>
          <w:sz w:val="28"/>
          <w:szCs w:val="28"/>
          <w:highlight w:val="none"/>
          <w:lang w:val="en-US" w:eastAsia="zh-CN" w:bidi="ar-SA"/>
          <w14:textFill>
            <w14:solidFill>
              <w14:schemeClr w14:val="tx1"/>
            </w14:solidFill>
          </w14:textFill>
        </w:rPr>
        <w:t>第二节  商务要求</w:t>
      </w:r>
      <w:bookmarkEnd w:id="47"/>
      <w:bookmarkEnd w:id="48"/>
      <w:bookmarkEnd w:id="49"/>
    </w:p>
    <w:p w14:paraId="40FA83A3">
      <w:pPr>
        <w:widowControl w:val="0"/>
        <w:shd w:val="clear"/>
        <w:spacing w:line="360" w:lineRule="auto"/>
        <w:jc w:val="both"/>
        <w:rPr>
          <w:rFonts w:hint="eastAsia" w:ascii="宋体" w:hAnsi="宋体" w:cs="宋体"/>
          <w:color w:val="000000" w:themeColor="text1"/>
          <w:highlight w:val="none"/>
          <w14:textFill>
            <w14:solidFill>
              <w14:schemeClr w14:val="tx1"/>
            </w14:solidFill>
          </w14:textFill>
        </w:rPr>
      </w:pPr>
    </w:p>
    <w:p w14:paraId="6E1D5109">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一</w:t>
      </w:r>
      <w:r>
        <w:rPr>
          <w:rFonts w:hint="eastAsia" w:ascii="宋体" w:hAnsi="宋体" w:cs="宋体"/>
          <w:color w:val="000000" w:themeColor="text1"/>
          <w:highlight w:val="none"/>
          <w:lang w:val="en-US" w:eastAsia="zh-CN"/>
          <w14:textFill>
            <w14:solidFill>
              <w14:schemeClr w14:val="tx1"/>
            </w14:solidFill>
          </w14:textFill>
        </w:rPr>
        <w:t>、服务期</w:t>
      </w:r>
    </w:p>
    <w:p w14:paraId="1535E766">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服务期：</w:t>
      </w:r>
      <w:r>
        <w:rPr>
          <w:rFonts w:hint="eastAsia" w:ascii="宋体" w:hAnsi="宋体" w:eastAsia="宋体" w:cs="宋体"/>
          <w:spacing w:val="0"/>
          <w:kern w:val="2"/>
          <w:sz w:val="24"/>
          <w:szCs w:val="24"/>
          <w:lang w:val="en-US" w:eastAsia="zh-CN" w:bidi="ar-SA"/>
        </w:rPr>
        <w:t>供应商于签订协议后21日历天内完成本项目可行性研究报告。</w:t>
      </w:r>
      <w:r>
        <w:rPr>
          <w:rFonts w:hint="eastAsia" w:ascii="宋体" w:hAnsi="宋体" w:cs="宋体"/>
          <w:color w:val="000000" w:themeColor="text1"/>
          <w:highlight w:val="none"/>
          <w:lang w:val="en-US" w:eastAsia="zh-CN"/>
          <w14:textFill>
            <w14:solidFill>
              <w14:schemeClr w14:val="tx1"/>
            </w14:solidFill>
          </w14:textFill>
        </w:rPr>
        <w:t xml:space="preserve">   </w:t>
      </w:r>
    </w:p>
    <w:p w14:paraId="5F753B1A">
      <w:pPr>
        <w:widowControl w:val="0"/>
        <w:shd w:val="clear"/>
        <w:spacing w:line="360" w:lineRule="auto"/>
        <w:ind w:firstLine="480" w:firstLineChars="200"/>
        <w:jc w:val="both"/>
        <w:rPr>
          <w:rFonts w:hint="default"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服务地点：采购人指定地点。</w:t>
      </w:r>
    </w:p>
    <w:p w14:paraId="0F151506">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二、验收标准</w:t>
      </w:r>
    </w:p>
    <w:p w14:paraId="29F1F6D9">
      <w:pPr>
        <w:widowControl w:val="0"/>
        <w:shd w:val="clear"/>
        <w:spacing w:line="360" w:lineRule="auto"/>
        <w:ind w:firstLine="480" w:firstLineChars="200"/>
        <w:jc w:val="both"/>
        <w:rPr>
          <w:rFonts w:hint="default"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按照国家、行业标准以及双方签订的合同约定事项执行。</w:t>
      </w:r>
    </w:p>
    <w:p w14:paraId="10323129">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三、付款方式</w:t>
      </w:r>
    </w:p>
    <w:p w14:paraId="318908BA">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以签订合同为准。</w:t>
      </w:r>
    </w:p>
    <w:p w14:paraId="1CB1A0BF">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四、投标有效期</w:t>
      </w:r>
    </w:p>
    <w:p w14:paraId="0690FEF4">
      <w:pPr>
        <w:widowControl w:val="0"/>
        <w:numPr>
          <w:ilvl w:val="-1"/>
          <w:numId w:val="0"/>
        </w:numPr>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比选有效期：为开标之日起90天内有效。</w:t>
      </w:r>
    </w:p>
    <w:p w14:paraId="2F714593">
      <w:pPr>
        <w:widowControl w:val="0"/>
        <w:numPr>
          <w:ilvl w:val="-1"/>
          <w:numId w:val="0"/>
        </w:numPr>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五、其他要求</w:t>
      </w:r>
    </w:p>
    <w:p w14:paraId="7B9EE503">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1.供应商应对相关证明文件的真实性负责，不得提供虚假材料谋取成交。否则必须承担相应法律责任，已骗取成交的取消成交资格，对采购人造成经济损失的，赔偿相应经济损失。</w:t>
      </w:r>
    </w:p>
    <w:p w14:paraId="5F7C0171">
      <w:pPr>
        <w:widowControl w:val="0"/>
        <w:shd w:val="clear"/>
        <w:spacing w:line="360" w:lineRule="auto"/>
        <w:ind w:firstLine="480" w:firstLineChars="200"/>
        <w:jc w:val="both"/>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2.供应商应对双方提供的资料严格保密，不得对外泄露，否则应承担相应的法律责任。</w:t>
      </w:r>
    </w:p>
    <w:p w14:paraId="3833D981">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lang w:val="en-US" w:eastAsia="zh-CN"/>
        </w:rPr>
        <w:t>六</w:t>
      </w:r>
      <w:r>
        <w:rPr>
          <w:rFonts w:hint="eastAsia" w:ascii="宋体" w:hAnsi="宋体" w:cs="宋体"/>
          <w:color w:val="auto"/>
          <w:highlight w:val="none"/>
        </w:rPr>
        <w:t>、关于备选方案要求</w:t>
      </w:r>
    </w:p>
    <w:p w14:paraId="224AF0DE">
      <w:pPr>
        <w:widowControl w:val="0"/>
        <w:shd w:val="clear"/>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rPr>
        <w:t xml:space="preserve">关于允许有投标备选方案的约定：不允许 </w:t>
      </w:r>
    </w:p>
    <w:p w14:paraId="27C57847">
      <w:pPr>
        <w:widowControl w:val="0"/>
        <w:shd w:val="clear"/>
        <w:spacing w:line="360" w:lineRule="auto"/>
        <w:ind w:firstLine="480" w:firstLineChars="200"/>
        <w:jc w:val="both"/>
        <w:rPr>
          <w:rFonts w:hint="eastAsia" w:ascii="宋体" w:hAnsi="宋体" w:cs="宋体"/>
          <w:color w:val="auto"/>
          <w:highlight w:val="none"/>
        </w:rPr>
      </w:pPr>
    </w:p>
    <w:p w14:paraId="3EAFC9FC">
      <w:pPr>
        <w:pStyle w:val="12"/>
        <w:shd w:val="clear"/>
        <w:rPr>
          <w:color w:val="auto"/>
          <w:highlight w:val="none"/>
        </w:rPr>
      </w:pPr>
    </w:p>
    <w:p w14:paraId="02C74724">
      <w:pPr>
        <w:shd w:val="clear"/>
        <w:rPr>
          <w:color w:val="auto"/>
          <w:highlight w:val="none"/>
        </w:rPr>
      </w:pPr>
      <w:r>
        <w:rPr>
          <w:color w:val="auto"/>
          <w:highlight w:val="none"/>
        </w:rPr>
        <w:br w:type="page"/>
      </w:r>
    </w:p>
    <w:p w14:paraId="5906A361">
      <w:pPr>
        <w:shd w:val="clear"/>
        <w:rPr>
          <w:highlight w:val="none"/>
        </w:rPr>
      </w:pPr>
    </w:p>
    <w:p w14:paraId="03CEB1B0">
      <w:pPr>
        <w:shd w:val="clear"/>
        <w:rPr>
          <w:color w:val="auto"/>
          <w:highlight w:val="none"/>
        </w:rPr>
      </w:pPr>
    </w:p>
    <w:p w14:paraId="5CB5360A">
      <w:pPr>
        <w:pStyle w:val="3"/>
        <w:widowControl w:val="0"/>
        <w:shd w:val="clear"/>
        <w:spacing w:line="360" w:lineRule="auto"/>
        <w:rPr>
          <w:rFonts w:ascii="宋体" w:hAnsi="宋体" w:eastAsia="宋体" w:cs="宋体"/>
          <w:b/>
          <w:color w:val="auto"/>
          <w:szCs w:val="28"/>
          <w:highlight w:val="none"/>
        </w:rPr>
      </w:pPr>
      <w:bookmarkStart w:id="50" w:name="_Toc95128207"/>
      <w:bookmarkStart w:id="51" w:name="_Toc1327"/>
      <w:bookmarkStart w:id="52" w:name="_Toc24866"/>
      <w:r>
        <w:rPr>
          <w:rFonts w:hint="eastAsia" w:ascii="宋体" w:hAnsi="宋体" w:eastAsia="宋体" w:cs="宋体"/>
          <w:b/>
          <w:color w:val="auto"/>
          <w:szCs w:val="28"/>
          <w:highlight w:val="none"/>
        </w:rPr>
        <w:t>第三章　评审办法及评分标准</w:t>
      </w:r>
      <w:bookmarkEnd w:id="40"/>
      <w:bookmarkEnd w:id="41"/>
      <w:bookmarkEnd w:id="42"/>
      <w:bookmarkEnd w:id="43"/>
      <w:bookmarkEnd w:id="50"/>
      <w:bookmarkEnd w:id="51"/>
      <w:bookmarkEnd w:id="52"/>
    </w:p>
    <w:p w14:paraId="098E4554">
      <w:pPr>
        <w:pStyle w:val="4"/>
        <w:widowControl w:val="0"/>
        <w:shd w:val="clear"/>
        <w:spacing w:line="360" w:lineRule="auto"/>
        <w:rPr>
          <w:rFonts w:ascii="宋体" w:hAnsi="宋体" w:eastAsia="宋体" w:cs="宋体"/>
          <w:b/>
          <w:color w:val="auto"/>
          <w:sz w:val="28"/>
          <w:szCs w:val="28"/>
          <w:highlight w:val="none"/>
        </w:rPr>
      </w:pPr>
      <w:bookmarkStart w:id="53" w:name="_Toc21006"/>
      <w:bookmarkStart w:id="54" w:name="_Toc8450"/>
      <w:bookmarkStart w:id="55" w:name="_Toc95128208"/>
      <w:bookmarkStart w:id="56" w:name="_Toc406671097"/>
      <w:bookmarkStart w:id="57" w:name="_Toc406670726"/>
      <w:bookmarkStart w:id="58" w:name="_Toc406671685"/>
      <w:bookmarkStart w:id="59" w:name="_Toc406672390"/>
      <w:r>
        <w:rPr>
          <w:rFonts w:hint="eastAsia" w:ascii="宋体" w:hAnsi="宋体" w:eastAsia="宋体" w:cs="宋体"/>
          <w:b/>
          <w:color w:val="auto"/>
          <w:sz w:val="28"/>
          <w:szCs w:val="28"/>
          <w:highlight w:val="none"/>
        </w:rPr>
        <w:t>第一节 评审办法</w:t>
      </w:r>
      <w:bookmarkEnd w:id="53"/>
      <w:bookmarkEnd w:id="54"/>
      <w:bookmarkEnd w:id="55"/>
      <w:bookmarkEnd w:id="56"/>
      <w:bookmarkEnd w:id="57"/>
      <w:bookmarkEnd w:id="58"/>
      <w:bookmarkEnd w:id="59"/>
    </w:p>
    <w:p w14:paraId="1C16BCC8">
      <w:pPr>
        <w:widowControl w:val="0"/>
        <w:shd w:val="clear"/>
        <w:spacing w:line="360" w:lineRule="auto"/>
        <w:ind w:firstLine="480" w:firstLineChars="200"/>
        <w:jc w:val="both"/>
        <w:rPr>
          <w:rFonts w:ascii="宋体" w:hAnsi="宋体" w:cs="宋体"/>
          <w:color w:val="auto"/>
          <w:highlight w:val="none"/>
        </w:rPr>
      </w:pPr>
    </w:p>
    <w:p w14:paraId="1C3A99BD">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1、本项目采用</w:t>
      </w:r>
      <w:r>
        <w:rPr>
          <w:rFonts w:hint="eastAsia" w:ascii="宋体" w:hAnsi="宋体" w:cs="宋体"/>
          <w:color w:val="auto"/>
          <w:highlight w:val="none"/>
          <w:u w:val="single"/>
        </w:rPr>
        <w:t>综合评分法</w:t>
      </w:r>
      <w:r>
        <w:rPr>
          <w:rFonts w:hint="eastAsia" w:ascii="宋体" w:hAnsi="宋体" w:cs="宋体"/>
          <w:color w:val="auto"/>
          <w:highlight w:val="none"/>
        </w:rPr>
        <w:t>进行评审。</w:t>
      </w:r>
    </w:p>
    <w:p w14:paraId="08DA3B2F">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综合评分法：是指响应文件满足比选文件全部实质性要求，且按照评审因素的量化指标评审得分最高的比选参与人为成交候选人的评审方法。</w:t>
      </w:r>
    </w:p>
    <w:p w14:paraId="66A73373">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注：按评审得分由高到低顺序排序。得分相同的，按比选报价由低到高顺序排列。得分且比选报价相同的，按技术指标优劣顺序排列。</w:t>
      </w:r>
    </w:p>
    <w:p w14:paraId="459A7E6C">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能最大限度满足比选文件的实质性要求和比选文件中规定的各项综合评价标准，即综合优势明显的比选参与人有可能成交，但不保证最低比选报价者成交。</w:t>
      </w:r>
    </w:p>
    <w:p w14:paraId="343033FD">
      <w:pPr>
        <w:shd w:val="clear"/>
        <w:tabs>
          <w:tab w:val="left" w:pos="2415"/>
        </w:tabs>
        <w:spacing w:line="360" w:lineRule="auto"/>
        <w:ind w:firstLine="240" w:firstLineChars="100"/>
        <w:rPr>
          <w:color w:val="auto"/>
          <w:highlight w:val="none"/>
        </w:rPr>
      </w:pPr>
      <w:r>
        <w:rPr>
          <w:rFonts w:hint="eastAsia" w:ascii="宋体" w:hAnsi="宋体"/>
          <w:color w:val="auto"/>
          <w:highlight w:val="none"/>
        </w:rPr>
        <w:t xml:space="preserve"> </w:t>
      </w:r>
      <w:r>
        <w:rPr>
          <w:rFonts w:hint="eastAsia" w:ascii="宋体" w:hAnsi="宋体"/>
          <w:color w:val="auto"/>
          <w:highlight w:val="none"/>
          <w:lang w:val="en-US" w:eastAsia="zh-CN"/>
        </w:rPr>
        <w:t>2</w:t>
      </w:r>
      <w:r>
        <w:rPr>
          <w:rFonts w:hint="eastAsia" w:ascii="宋体" w:hAnsi="宋体"/>
          <w:color w:val="auto"/>
          <w:highlight w:val="none"/>
        </w:rPr>
        <w:t>、评标原则：公平、公正、公开和择优原则。</w:t>
      </w:r>
    </w:p>
    <w:p w14:paraId="220439A0">
      <w:pPr>
        <w:widowControl w:val="0"/>
        <w:shd w:val="clear"/>
        <w:spacing w:line="360" w:lineRule="auto"/>
        <w:ind w:firstLine="562" w:firstLineChars="200"/>
        <w:jc w:val="both"/>
        <w:rPr>
          <w:rFonts w:ascii="宋体" w:hAnsi="宋体" w:cs="宋体"/>
          <w:b/>
          <w:color w:val="auto"/>
          <w:sz w:val="28"/>
          <w:szCs w:val="28"/>
          <w:highlight w:val="none"/>
        </w:rPr>
      </w:pPr>
      <w:bookmarkStart w:id="60" w:name="_Toc406671686"/>
      <w:bookmarkStart w:id="61" w:name="_Toc406672391"/>
      <w:bookmarkStart w:id="62" w:name="_Toc406671098"/>
      <w:bookmarkStart w:id="63" w:name="_Toc406670727"/>
    </w:p>
    <w:p w14:paraId="527FCBAC">
      <w:pPr>
        <w:pStyle w:val="4"/>
        <w:widowControl w:val="0"/>
        <w:shd w:val="clear"/>
        <w:spacing w:line="360" w:lineRule="auto"/>
        <w:rPr>
          <w:rFonts w:ascii="宋体" w:hAnsi="宋体" w:eastAsia="宋体" w:cs="宋体"/>
          <w:b/>
          <w:color w:val="auto"/>
          <w:sz w:val="28"/>
          <w:szCs w:val="28"/>
          <w:highlight w:val="none"/>
        </w:rPr>
      </w:pPr>
      <w:bookmarkStart w:id="64" w:name="_Toc12218"/>
      <w:bookmarkStart w:id="65" w:name="_Toc17711"/>
      <w:bookmarkStart w:id="66" w:name="_Toc95128209"/>
      <w:r>
        <w:rPr>
          <w:rFonts w:hint="eastAsia" w:ascii="宋体" w:hAnsi="宋体" w:eastAsia="宋体" w:cs="宋体"/>
          <w:b/>
          <w:color w:val="auto"/>
          <w:sz w:val="28"/>
          <w:szCs w:val="28"/>
          <w:highlight w:val="none"/>
        </w:rPr>
        <w:t>第二节 评分标准</w:t>
      </w:r>
      <w:bookmarkEnd w:id="60"/>
      <w:bookmarkEnd w:id="61"/>
      <w:bookmarkEnd w:id="62"/>
      <w:bookmarkEnd w:id="63"/>
      <w:bookmarkEnd w:id="64"/>
      <w:bookmarkEnd w:id="65"/>
      <w:bookmarkEnd w:id="66"/>
    </w:p>
    <w:p w14:paraId="227B6E4E">
      <w:pPr>
        <w:widowControl w:val="0"/>
        <w:shd w:val="clear"/>
        <w:spacing w:line="360" w:lineRule="auto"/>
        <w:ind w:firstLine="480" w:firstLineChars="200"/>
        <w:rPr>
          <w:rFonts w:ascii="宋体" w:hAnsi="宋体" w:cs="宋体"/>
          <w:color w:val="auto"/>
          <w:highlight w:val="none"/>
        </w:rPr>
      </w:pPr>
    </w:p>
    <w:p w14:paraId="0C1804B6">
      <w:pPr>
        <w:widowControl w:val="0"/>
        <w:shd w:val="clear"/>
        <w:adjustRightInd w:val="0"/>
        <w:snapToGrid w:val="0"/>
        <w:spacing w:line="360" w:lineRule="auto"/>
        <w:ind w:firstLine="480" w:firstLineChars="200"/>
        <w:rPr>
          <w:rFonts w:ascii="黑体" w:hAnsi="黑体" w:eastAsia="黑体" w:cs="黑体"/>
          <w:color w:val="auto"/>
          <w:highlight w:val="none"/>
        </w:rPr>
      </w:pPr>
      <w:r>
        <w:rPr>
          <w:rFonts w:hint="eastAsia" w:ascii="黑体" w:hAnsi="黑体" w:eastAsia="黑体" w:cs="黑体"/>
          <w:color w:val="auto"/>
          <w:highlight w:val="none"/>
        </w:rPr>
        <w:t>一、评分因素</w:t>
      </w:r>
    </w:p>
    <w:p w14:paraId="78EA810B">
      <w:pPr>
        <w:widowControl w:val="0"/>
        <w:shd w:val="clear"/>
        <w:spacing w:line="360" w:lineRule="auto"/>
        <w:ind w:firstLine="480" w:firstLineChars="200"/>
        <w:rPr>
          <w:rFonts w:ascii="宋体" w:hAnsi="宋体" w:cs="宋体"/>
          <w:color w:val="auto"/>
          <w:highlight w:val="none"/>
        </w:rPr>
      </w:pPr>
      <w:r>
        <w:rPr>
          <w:rFonts w:hint="eastAsia" w:ascii="宋体" w:hAnsi="宋体" w:cs="宋体"/>
          <w:color w:val="auto"/>
          <w:highlight w:val="none"/>
        </w:rPr>
        <w:t>评分的主要因素分为价格因素、技术因素（如方案、团队、项目经理等）和商务因素（如财务状况、信誉、业绩、服务期等）。评分因素详见评分表。评审分值保留至两位小数。评审时，</w:t>
      </w:r>
      <w:r>
        <w:rPr>
          <w:rFonts w:hint="eastAsia" w:ascii="宋体" w:hAnsi="宋体" w:cs="宋体"/>
          <w:color w:val="auto"/>
          <w:highlight w:val="none"/>
          <w:lang w:eastAsia="zh-CN"/>
        </w:rPr>
        <w:t>比选小组</w:t>
      </w:r>
      <w:r>
        <w:rPr>
          <w:rFonts w:hint="eastAsia" w:ascii="宋体" w:hAnsi="宋体" w:cs="宋体"/>
          <w:color w:val="auto"/>
          <w:highlight w:val="none"/>
        </w:rPr>
        <w:t>依照评分表对每个有效比选参与人的响应文件进行独立评审、打分。</w:t>
      </w:r>
    </w:p>
    <w:p w14:paraId="46AAF046">
      <w:pPr>
        <w:widowControl w:val="0"/>
        <w:shd w:val="clear"/>
        <w:adjustRightInd w:val="0"/>
        <w:snapToGrid w:val="0"/>
        <w:spacing w:line="360" w:lineRule="auto"/>
        <w:ind w:firstLine="480" w:firstLineChars="200"/>
        <w:rPr>
          <w:rFonts w:ascii="黑体" w:hAnsi="黑体" w:eastAsia="黑体" w:cs="黑体"/>
          <w:color w:val="auto"/>
          <w:highlight w:val="none"/>
        </w:rPr>
      </w:pPr>
      <w:r>
        <w:rPr>
          <w:rFonts w:hint="eastAsia" w:ascii="黑体" w:hAnsi="黑体" w:eastAsia="黑体" w:cs="黑体"/>
          <w:color w:val="auto"/>
          <w:highlight w:val="none"/>
        </w:rPr>
        <w:t>二、评分标准</w:t>
      </w:r>
    </w:p>
    <w:p w14:paraId="51D5E588">
      <w:pPr>
        <w:widowControl w:val="0"/>
        <w:shd w:val="clear"/>
        <w:spacing w:line="360" w:lineRule="auto"/>
        <w:ind w:firstLine="480" w:firstLineChars="200"/>
        <w:rPr>
          <w:rFonts w:ascii="宋体" w:hAnsi="宋体" w:cs="宋体"/>
          <w:color w:val="auto"/>
          <w:highlight w:val="none"/>
        </w:rPr>
      </w:pPr>
      <w:r>
        <w:rPr>
          <w:rFonts w:hint="eastAsia" w:ascii="宋体" w:hAnsi="宋体" w:cs="宋体"/>
          <w:color w:val="auto"/>
          <w:highlight w:val="none"/>
        </w:rPr>
        <w:t>1.初步审查表</w:t>
      </w:r>
    </w:p>
    <w:p w14:paraId="4AE6E945">
      <w:pPr>
        <w:widowControl w:val="0"/>
        <w:shd w:val="clear"/>
        <w:spacing w:beforeLines="100" w:afterLines="50" w:line="360" w:lineRule="auto"/>
        <w:ind w:firstLine="560" w:firstLineChars="200"/>
        <w:rPr>
          <w:rFonts w:ascii="宋体" w:hAnsi="宋体" w:cs="宋体"/>
          <w:color w:val="auto"/>
          <w:sz w:val="28"/>
          <w:szCs w:val="28"/>
          <w:highlight w:val="none"/>
        </w:rPr>
        <w:sectPr>
          <w:footerReference r:id="rId5" w:type="default"/>
          <w:pgSz w:w="11907" w:h="16840"/>
          <w:pgMar w:top="1531" w:right="1418" w:bottom="1361" w:left="1418" w:header="720" w:footer="720" w:gutter="0"/>
          <w:pgNumType w:fmt="decimal"/>
          <w:cols w:space="720" w:num="1"/>
          <w:docGrid w:linePitch="285" w:charSpace="0"/>
        </w:sectPr>
      </w:pPr>
    </w:p>
    <w:p w14:paraId="16C0D5BF">
      <w:pPr>
        <w:widowControl w:val="0"/>
        <w:shd w:val="clear"/>
        <w:spacing w:line="360" w:lineRule="auto"/>
        <w:jc w:val="center"/>
        <w:rPr>
          <w:rFonts w:ascii="宋体" w:hAnsi="宋体" w:cs="宋体"/>
          <w:b/>
          <w:bCs/>
          <w:color w:val="auto"/>
          <w:sz w:val="28"/>
          <w:szCs w:val="28"/>
          <w:highlight w:val="none"/>
        </w:rPr>
      </w:pPr>
      <w:r>
        <w:rPr>
          <w:rFonts w:hint="eastAsia" w:ascii="宋体" w:hAnsi="宋体" w:cs="宋体"/>
          <w:b/>
          <w:bCs/>
          <w:color w:val="auto"/>
          <w:sz w:val="28"/>
          <w:szCs w:val="28"/>
          <w:highlight w:val="none"/>
          <w:u w:val="single"/>
        </w:rPr>
        <w:t>初  步  审  查  表</w:t>
      </w:r>
    </w:p>
    <w:tbl>
      <w:tblPr>
        <w:tblStyle w:val="34"/>
        <w:tblpPr w:leftFromText="180" w:rightFromText="180" w:vertAnchor="text" w:horzAnchor="page" w:tblpX="1577" w:tblpY="443"/>
        <w:tblOverlap w:val="never"/>
        <w:tblW w:w="13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359"/>
        <w:gridCol w:w="11115"/>
        <w:gridCol w:w="657"/>
      </w:tblGrid>
      <w:tr w14:paraId="4C278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786" w:type="dxa"/>
            <w:gridSpan w:val="4"/>
            <w:tcBorders>
              <w:top w:val="nil"/>
              <w:left w:val="nil"/>
              <w:bottom w:val="nil"/>
              <w:right w:val="nil"/>
            </w:tcBorders>
            <w:vAlign w:val="center"/>
          </w:tcPr>
          <w:p w14:paraId="26FD409A">
            <w:pPr>
              <w:pStyle w:val="27"/>
              <w:shd w:val="clear"/>
              <w:ind w:left="0" w:leftChars="0"/>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一、资格性检查</w:t>
            </w:r>
          </w:p>
        </w:tc>
      </w:tr>
      <w:tr w14:paraId="710C8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55" w:type="dxa"/>
            <w:tcBorders>
              <w:top w:val="single" w:color="auto" w:sz="4" w:space="0"/>
            </w:tcBorders>
            <w:vAlign w:val="center"/>
          </w:tcPr>
          <w:p w14:paraId="21E68A3E">
            <w:pPr>
              <w:pStyle w:val="27"/>
              <w:shd w:val="clear"/>
              <w:ind w:left="0" w:leftChars="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序号</w:t>
            </w:r>
          </w:p>
        </w:tc>
        <w:tc>
          <w:tcPr>
            <w:tcW w:w="12474" w:type="dxa"/>
            <w:gridSpan w:val="2"/>
            <w:tcBorders>
              <w:top w:val="single" w:color="auto" w:sz="4" w:space="0"/>
              <w:tl2br w:val="single" w:color="auto" w:sz="4" w:space="0"/>
            </w:tcBorders>
            <w:vAlign w:val="center"/>
          </w:tcPr>
          <w:p w14:paraId="06161E4B">
            <w:pPr>
              <w:pStyle w:val="27"/>
              <w:shd w:val="clear"/>
              <w:spacing w:after="0" w:line="0" w:lineRule="atLeast"/>
              <w:ind w:left="480" w:right="480" w:firstLine="480"/>
              <w:jc w:val="righ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供应商名称</w:t>
            </w:r>
          </w:p>
          <w:p w14:paraId="3E7825B0">
            <w:pPr>
              <w:pStyle w:val="27"/>
              <w:shd w:val="clear"/>
              <w:spacing w:after="0" w:line="0" w:lineRule="atLeast"/>
              <w:ind w:left="0" w:leftChars="0" w:right="48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资格要求</w:t>
            </w:r>
          </w:p>
        </w:tc>
        <w:tc>
          <w:tcPr>
            <w:tcW w:w="657" w:type="dxa"/>
            <w:tcBorders>
              <w:top w:val="single" w:color="auto" w:sz="4" w:space="0"/>
            </w:tcBorders>
            <w:vAlign w:val="center"/>
          </w:tcPr>
          <w:p w14:paraId="0638A1E6">
            <w:pPr>
              <w:pStyle w:val="27"/>
              <w:shd w:val="clear"/>
              <w:spacing w:after="0" w:line="0" w:lineRule="atLeast"/>
              <w:ind w:left="0" w:leftChars="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备注</w:t>
            </w:r>
          </w:p>
        </w:tc>
      </w:tr>
      <w:tr w14:paraId="7B933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7821CBB0">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eastAsia="宋体" w:cs="宋体"/>
                <w:color w:val="auto"/>
                <w:kern w:val="0"/>
                <w:sz w:val="18"/>
                <w:szCs w:val="18"/>
                <w:highlight w:val="none"/>
              </w:rPr>
              <w:t>1</w:t>
            </w:r>
          </w:p>
        </w:tc>
        <w:tc>
          <w:tcPr>
            <w:tcW w:w="1359" w:type="dxa"/>
            <w:vMerge w:val="restart"/>
            <w:vAlign w:val="center"/>
          </w:tcPr>
          <w:p w14:paraId="2FA456B2">
            <w:pPr>
              <w:pStyle w:val="27"/>
              <w:shd w:val="clear"/>
              <w:ind w:left="0" w:leftChars="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经营资格</w:t>
            </w:r>
          </w:p>
          <w:p w14:paraId="43399420">
            <w:pPr>
              <w:pStyle w:val="27"/>
              <w:shd w:val="clear"/>
              <w:ind w:left="0" w:leftChars="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审查</w:t>
            </w:r>
          </w:p>
        </w:tc>
        <w:tc>
          <w:tcPr>
            <w:tcW w:w="11115" w:type="dxa"/>
            <w:vAlign w:val="center"/>
          </w:tcPr>
          <w:p w14:paraId="34AB8FD7">
            <w:pPr>
              <w:shd w:val="clea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 xml:space="preserve">具有独立承担民事责任的能力:须提供合法有效的营业执照或其他组织证照复印件； </w:t>
            </w:r>
          </w:p>
        </w:tc>
        <w:tc>
          <w:tcPr>
            <w:tcW w:w="657" w:type="dxa"/>
            <w:vAlign w:val="center"/>
          </w:tcPr>
          <w:p w14:paraId="3B85B40E">
            <w:pPr>
              <w:pStyle w:val="27"/>
              <w:shd w:val="clear"/>
              <w:ind w:left="480" w:firstLine="480"/>
              <w:jc w:val="center"/>
              <w:rPr>
                <w:rFonts w:hint="eastAsia" w:ascii="宋体" w:hAnsi="宋体" w:eastAsia="宋体" w:cs="宋体"/>
                <w:color w:val="auto"/>
                <w:sz w:val="18"/>
                <w:szCs w:val="18"/>
                <w:highlight w:val="none"/>
              </w:rPr>
            </w:pPr>
          </w:p>
        </w:tc>
      </w:tr>
      <w:tr w14:paraId="2FB31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4A521D40">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eastAsia="宋体" w:cs="宋体"/>
                <w:color w:val="auto"/>
                <w:kern w:val="0"/>
                <w:sz w:val="18"/>
                <w:szCs w:val="18"/>
                <w:highlight w:val="none"/>
              </w:rPr>
              <w:t>2</w:t>
            </w:r>
          </w:p>
        </w:tc>
        <w:tc>
          <w:tcPr>
            <w:tcW w:w="1359" w:type="dxa"/>
            <w:vMerge w:val="continue"/>
            <w:vAlign w:val="center"/>
          </w:tcPr>
          <w:p w14:paraId="77E0FC56">
            <w:pPr>
              <w:pStyle w:val="27"/>
              <w:shd w:val="clear"/>
              <w:ind w:left="480"/>
              <w:jc w:val="center"/>
              <w:rPr>
                <w:rFonts w:hint="eastAsia" w:ascii="宋体" w:hAnsi="宋体" w:eastAsia="宋体" w:cs="宋体"/>
                <w:color w:val="auto"/>
                <w:sz w:val="18"/>
                <w:szCs w:val="18"/>
                <w:highlight w:val="none"/>
              </w:rPr>
            </w:pPr>
          </w:p>
        </w:tc>
        <w:tc>
          <w:tcPr>
            <w:tcW w:w="11115" w:type="dxa"/>
            <w:vAlign w:val="center"/>
          </w:tcPr>
          <w:p w14:paraId="398303F4">
            <w:pPr>
              <w:shd w:val="clear"/>
              <w:rPr>
                <w:rFonts w:hint="default" w:ascii="宋体" w:hAnsi="宋体" w:eastAsia="宋体" w:cs="宋体"/>
                <w:i/>
                <w:iCs/>
                <w:color w:val="000000" w:themeColor="text1"/>
                <w:sz w:val="18"/>
                <w:szCs w:val="18"/>
                <w:highlight w:val="none"/>
                <w:u w:val="single"/>
                <w:lang w:val="en-US"/>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具有良好的商业信誉和健全的财务会计制度：供应商自行承诺，格式自拟并加盖供应商单位公章</w:t>
            </w:r>
            <w:r>
              <w:rPr>
                <w:rFonts w:hint="eastAsia" w:ascii="宋体" w:hAnsi="宋体" w:cs="宋体"/>
                <w:color w:val="000000" w:themeColor="text1"/>
                <w:sz w:val="18"/>
                <w:szCs w:val="18"/>
                <w:highlight w:val="none"/>
                <w:lang w:val="en-US" w:eastAsia="zh-CN"/>
                <w14:textFill>
                  <w14:solidFill>
                    <w14:schemeClr w14:val="tx1"/>
                  </w14:solidFill>
                </w14:textFill>
              </w:rPr>
              <w:t>;</w:t>
            </w:r>
          </w:p>
        </w:tc>
        <w:tc>
          <w:tcPr>
            <w:tcW w:w="657" w:type="dxa"/>
            <w:vAlign w:val="center"/>
          </w:tcPr>
          <w:p w14:paraId="11F98770">
            <w:pPr>
              <w:pStyle w:val="27"/>
              <w:shd w:val="clear"/>
              <w:ind w:left="480" w:firstLine="480"/>
              <w:jc w:val="center"/>
              <w:rPr>
                <w:rFonts w:hint="eastAsia" w:ascii="宋体" w:hAnsi="宋体" w:eastAsia="宋体" w:cs="宋体"/>
                <w:color w:val="auto"/>
                <w:sz w:val="18"/>
                <w:szCs w:val="18"/>
                <w:highlight w:val="none"/>
              </w:rPr>
            </w:pPr>
          </w:p>
        </w:tc>
      </w:tr>
      <w:tr w14:paraId="210C1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5A0BDBDD">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eastAsia="宋体" w:cs="宋体"/>
                <w:color w:val="auto"/>
                <w:kern w:val="0"/>
                <w:sz w:val="18"/>
                <w:szCs w:val="18"/>
                <w:highlight w:val="none"/>
              </w:rPr>
              <w:t>3</w:t>
            </w:r>
          </w:p>
        </w:tc>
        <w:tc>
          <w:tcPr>
            <w:tcW w:w="1359" w:type="dxa"/>
            <w:vMerge w:val="continue"/>
            <w:vAlign w:val="center"/>
          </w:tcPr>
          <w:p w14:paraId="4864FDAB">
            <w:pPr>
              <w:pStyle w:val="27"/>
              <w:shd w:val="clear"/>
              <w:ind w:left="480"/>
              <w:jc w:val="center"/>
              <w:rPr>
                <w:rFonts w:hint="eastAsia" w:ascii="宋体" w:hAnsi="宋体" w:eastAsia="宋体" w:cs="宋体"/>
                <w:color w:val="auto"/>
                <w:sz w:val="18"/>
                <w:szCs w:val="18"/>
                <w:highlight w:val="none"/>
              </w:rPr>
            </w:pPr>
          </w:p>
        </w:tc>
        <w:tc>
          <w:tcPr>
            <w:tcW w:w="11115" w:type="dxa"/>
            <w:vAlign w:val="center"/>
          </w:tcPr>
          <w:p w14:paraId="5D4CE119">
            <w:pPr>
              <w:shd w:val="clea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具有履行合同所必须的设备和专业技术能力：提供具备履行合同所必需的设备和专业技术能力的证明材料或承诺函；</w:t>
            </w:r>
          </w:p>
        </w:tc>
        <w:tc>
          <w:tcPr>
            <w:tcW w:w="657" w:type="dxa"/>
            <w:vAlign w:val="center"/>
          </w:tcPr>
          <w:p w14:paraId="58F41B63">
            <w:pPr>
              <w:pStyle w:val="27"/>
              <w:shd w:val="clear"/>
              <w:ind w:left="480" w:firstLine="480"/>
              <w:jc w:val="center"/>
              <w:rPr>
                <w:rFonts w:hint="eastAsia" w:ascii="宋体" w:hAnsi="宋体" w:eastAsia="宋体" w:cs="宋体"/>
                <w:color w:val="auto"/>
                <w:sz w:val="18"/>
                <w:szCs w:val="18"/>
                <w:highlight w:val="none"/>
              </w:rPr>
            </w:pPr>
          </w:p>
        </w:tc>
      </w:tr>
      <w:tr w14:paraId="48292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55" w:type="dxa"/>
            <w:vAlign w:val="center"/>
          </w:tcPr>
          <w:p w14:paraId="184BADD5">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cs="宋体"/>
                <w:color w:val="auto"/>
                <w:kern w:val="0"/>
                <w:sz w:val="18"/>
                <w:szCs w:val="18"/>
                <w:highlight w:val="none"/>
                <w:lang w:val="en-US"/>
              </w:rPr>
              <w:t>4</w:t>
            </w:r>
          </w:p>
        </w:tc>
        <w:tc>
          <w:tcPr>
            <w:tcW w:w="1359" w:type="dxa"/>
            <w:vMerge w:val="continue"/>
            <w:vAlign w:val="center"/>
          </w:tcPr>
          <w:p w14:paraId="2908B9A1">
            <w:pPr>
              <w:pStyle w:val="27"/>
              <w:shd w:val="clear"/>
              <w:ind w:left="480"/>
              <w:jc w:val="center"/>
              <w:rPr>
                <w:rFonts w:hint="eastAsia" w:ascii="宋体" w:hAnsi="宋体" w:eastAsia="宋体" w:cs="宋体"/>
                <w:color w:val="auto"/>
                <w:sz w:val="18"/>
                <w:szCs w:val="18"/>
                <w:highlight w:val="none"/>
              </w:rPr>
            </w:pPr>
          </w:p>
        </w:tc>
        <w:tc>
          <w:tcPr>
            <w:tcW w:w="11115" w:type="dxa"/>
            <w:vAlign w:val="center"/>
          </w:tcPr>
          <w:p w14:paraId="0203809D">
            <w:pPr>
              <w:shd w:val="clea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参加采购、招投标等活动近三年内，在经营活动中没有重大违法记录和行贿记录：提供参加本次采购活动前3年内在经营活动中没有重大违法记录和行贿记录的书面声明（自行承诺加盖供应商单位公章。）；</w:t>
            </w:r>
          </w:p>
        </w:tc>
        <w:tc>
          <w:tcPr>
            <w:tcW w:w="657" w:type="dxa"/>
            <w:vAlign w:val="center"/>
          </w:tcPr>
          <w:p w14:paraId="16D31A5D">
            <w:pPr>
              <w:pStyle w:val="27"/>
              <w:shd w:val="clear"/>
              <w:ind w:left="480" w:firstLine="480"/>
              <w:jc w:val="center"/>
              <w:rPr>
                <w:rFonts w:hint="eastAsia" w:ascii="宋体" w:hAnsi="宋体" w:eastAsia="宋体" w:cs="宋体"/>
                <w:color w:val="auto"/>
                <w:sz w:val="18"/>
                <w:szCs w:val="18"/>
                <w:highlight w:val="none"/>
              </w:rPr>
            </w:pPr>
          </w:p>
        </w:tc>
      </w:tr>
      <w:tr w14:paraId="31B27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655" w:type="dxa"/>
            <w:vAlign w:val="center"/>
          </w:tcPr>
          <w:p w14:paraId="3D6BEB6B">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cs="宋体"/>
                <w:color w:val="auto"/>
                <w:kern w:val="0"/>
                <w:sz w:val="18"/>
                <w:szCs w:val="18"/>
                <w:highlight w:val="none"/>
                <w:lang w:val="en-US"/>
              </w:rPr>
              <w:t>5</w:t>
            </w:r>
          </w:p>
        </w:tc>
        <w:tc>
          <w:tcPr>
            <w:tcW w:w="1359" w:type="dxa"/>
            <w:vMerge w:val="continue"/>
            <w:vAlign w:val="center"/>
          </w:tcPr>
          <w:p w14:paraId="50B5F0C9">
            <w:pPr>
              <w:pStyle w:val="27"/>
              <w:shd w:val="clear"/>
              <w:ind w:left="0" w:leftChars="0"/>
              <w:rPr>
                <w:rFonts w:hint="eastAsia" w:ascii="宋体" w:hAnsi="宋体" w:eastAsia="宋体" w:cs="宋体"/>
                <w:color w:val="auto"/>
                <w:sz w:val="18"/>
                <w:szCs w:val="18"/>
                <w:highlight w:val="none"/>
              </w:rPr>
            </w:pPr>
          </w:p>
        </w:tc>
        <w:tc>
          <w:tcPr>
            <w:tcW w:w="11115" w:type="dxa"/>
            <w:vAlign w:val="center"/>
          </w:tcPr>
          <w:p w14:paraId="4AE05AC3">
            <w:pPr>
              <w:shd w:val="clea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提供在“信用中国”网站（www.creditchina.gov.cn）、中国政府采购网（www.ccgp.gov.cn）等渠道查询中未列入失信被执行人、重大税收违法案件当事人名单、政府采购严重违法失信行为记录名单的承诺；</w:t>
            </w:r>
          </w:p>
        </w:tc>
        <w:tc>
          <w:tcPr>
            <w:tcW w:w="657" w:type="dxa"/>
            <w:vAlign w:val="center"/>
          </w:tcPr>
          <w:p w14:paraId="573E958A">
            <w:pPr>
              <w:pStyle w:val="27"/>
              <w:shd w:val="clear"/>
              <w:ind w:left="480" w:firstLine="480"/>
              <w:jc w:val="center"/>
              <w:rPr>
                <w:rFonts w:hint="eastAsia" w:ascii="宋体" w:hAnsi="宋体" w:eastAsia="宋体" w:cs="宋体"/>
                <w:color w:val="auto"/>
                <w:sz w:val="18"/>
                <w:szCs w:val="18"/>
                <w:highlight w:val="none"/>
              </w:rPr>
            </w:pPr>
          </w:p>
        </w:tc>
      </w:tr>
      <w:tr w14:paraId="05FB1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786" w:type="dxa"/>
            <w:gridSpan w:val="4"/>
            <w:tcBorders>
              <w:top w:val="single" w:color="auto" w:sz="4" w:space="0"/>
              <w:left w:val="nil"/>
              <w:bottom w:val="single" w:color="auto" w:sz="4" w:space="0"/>
              <w:right w:val="single" w:color="auto" w:sz="4" w:space="0"/>
            </w:tcBorders>
            <w:vAlign w:val="center"/>
          </w:tcPr>
          <w:p w14:paraId="08CBE8A6">
            <w:pPr>
              <w:widowControl w:val="0"/>
              <w:shd w:val="clear"/>
              <w:rPr>
                <w:rFonts w:hint="eastAsia" w:ascii="宋体" w:hAnsi="宋体" w:eastAsia="宋体" w:cs="宋体"/>
                <w:color w:val="auto"/>
                <w:sz w:val="18"/>
                <w:szCs w:val="18"/>
                <w:highlight w:val="none"/>
              </w:rPr>
            </w:pPr>
            <w:r>
              <w:rPr>
                <w:rStyle w:val="155"/>
                <w:rFonts w:hint="eastAsia" w:ascii="宋体" w:hAnsi="宋体" w:eastAsia="宋体" w:cs="宋体"/>
                <w:b/>
                <w:color w:val="auto"/>
                <w:kern w:val="0"/>
                <w:sz w:val="18"/>
                <w:szCs w:val="18"/>
                <w:highlight w:val="none"/>
              </w:rPr>
              <w:t>二、符合性检查</w:t>
            </w:r>
          </w:p>
        </w:tc>
      </w:tr>
      <w:tr w14:paraId="5FC9D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6CA2566C">
            <w:pPr>
              <w:widowControl w:val="0"/>
              <w:shd w:val="clear"/>
              <w:jc w:val="center"/>
              <w:rPr>
                <w:rFonts w:hint="eastAsia" w:ascii="宋体" w:hAnsi="宋体" w:eastAsia="宋体" w:cs="宋体"/>
                <w:color w:val="auto"/>
                <w:sz w:val="18"/>
                <w:szCs w:val="18"/>
                <w:highlight w:val="none"/>
              </w:rPr>
            </w:pPr>
            <w:r>
              <w:rPr>
                <w:rStyle w:val="155"/>
                <w:rFonts w:hint="eastAsia" w:ascii="宋体" w:hAnsi="宋体" w:eastAsia="宋体" w:cs="宋体"/>
                <w:color w:val="auto"/>
                <w:kern w:val="0"/>
                <w:sz w:val="18"/>
                <w:szCs w:val="18"/>
                <w:highlight w:val="none"/>
                <w:lang w:val="en-US"/>
              </w:rPr>
              <w:t>1</w:t>
            </w:r>
          </w:p>
        </w:tc>
        <w:tc>
          <w:tcPr>
            <w:tcW w:w="1359" w:type="dxa"/>
            <w:vAlign w:val="center"/>
          </w:tcPr>
          <w:p w14:paraId="75E838B5">
            <w:pPr>
              <w:widowControl w:val="0"/>
              <w:shd w:val="clear"/>
              <w:jc w:val="center"/>
              <w:rPr>
                <w:rFonts w:hint="eastAsia" w:ascii="宋体" w:hAnsi="宋体" w:eastAsia="宋体" w:cs="宋体"/>
                <w:i/>
                <w:iCs/>
                <w:color w:val="auto"/>
                <w:sz w:val="18"/>
                <w:szCs w:val="18"/>
                <w:highlight w:val="none"/>
              </w:rPr>
            </w:pPr>
            <w:r>
              <w:rPr>
                <w:rStyle w:val="155"/>
                <w:rFonts w:hint="eastAsia" w:ascii="宋体" w:hAnsi="宋体" w:eastAsia="宋体" w:cs="宋体"/>
                <w:color w:val="auto"/>
                <w:kern w:val="0"/>
                <w:sz w:val="18"/>
                <w:szCs w:val="18"/>
                <w:highlight w:val="none"/>
                <w:lang w:val="en-US"/>
              </w:rPr>
              <w:t>技术</w:t>
            </w:r>
            <w:r>
              <w:rPr>
                <w:rStyle w:val="155"/>
                <w:rFonts w:hint="eastAsia" w:ascii="宋体" w:hAnsi="宋体" w:eastAsia="宋体" w:cs="宋体"/>
                <w:color w:val="auto"/>
                <w:kern w:val="0"/>
                <w:sz w:val="18"/>
                <w:szCs w:val="18"/>
                <w:highlight w:val="none"/>
              </w:rPr>
              <w:t>符合性</w:t>
            </w:r>
          </w:p>
        </w:tc>
        <w:tc>
          <w:tcPr>
            <w:tcW w:w="11115" w:type="dxa"/>
            <w:vAlign w:val="center"/>
          </w:tcPr>
          <w:p w14:paraId="3AE512C4">
            <w:pPr>
              <w:shd w:val="clea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采购文件</w:t>
            </w:r>
            <w:r>
              <w:rPr>
                <w:rFonts w:hint="eastAsia" w:ascii="宋体" w:hAnsi="宋体" w:eastAsia="宋体" w:cs="宋体"/>
                <w:color w:val="auto"/>
                <w:sz w:val="18"/>
                <w:szCs w:val="18"/>
                <w:highlight w:val="none"/>
                <w:lang w:val="en-US" w:eastAsia="zh-CN"/>
              </w:rPr>
              <w:t>技术</w:t>
            </w:r>
            <w:r>
              <w:rPr>
                <w:rFonts w:hint="eastAsia" w:ascii="宋体" w:hAnsi="宋体" w:eastAsia="宋体" w:cs="宋体"/>
                <w:color w:val="auto"/>
                <w:sz w:val="18"/>
                <w:szCs w:val="18"/>
                <w:highlight w:val="none"/>
              </w:rPr>
              <w:t>条款的符合性（符合性：无负偏离或承诺无偏离）</w:t>
            </w:r>
          </w:p>
        </w:tc>
        <w:tc>
          <w:tcPr>
            <w:tcW w:w="657" w:type="dxa"/>
            <w:vAlign w:val="center"/>
          </w:tcPr>
          <w:p w14:paraId="4A2A7AEB">
            <w:pPr>
              <w:widowControl w:val="0"/>
              <w:shd w:val="clear"/>
              <w:rPr>
                <w:rFonts w:hint="eastAsia" w:ascii="宋体" w:hAnsi="宋体" w:eastAsia="宋体" w:cs="宋体"/>
                <w:color w:val="auto"/>
                <w:sz w:val="18"/>
                <w:szCs w:val="18"/>
                <w:highlight w:val="none"/>
              </w:rPr>
            </w:pPr>
          </w:p>
        </w:tc>
      </w:tr>
      <w:tr w14:paraId="1AA48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7BFA2BF8">
            <w:pPr>
              <w:widowControl w:val="0"/>
              <w:shd w:val="clear"/>
              <w:jc w:val="center"/>
              <w:rPr>
                <w:rStyle w:val="155"/>
                <w:rFonts w:hint="eastAsia" w:ascii="宋体" w:hAnsi="宋体" w:eastAsia="宋体" w:cs="宋体"/>
                <w:color w:val="auto"/>
                <w:kern w:val="0"/>
                <w:sz w:val="18"/>
                <w:szCs w:val="18"/>
                <w:highlight w:val="none"/>
                <w:lang w:val="en-US"/>
              </w:rPr>
            </w:pPr>
            <w:r>
              <w:rPr>
                <w:rStyle w:val="155"/>
                <w:rFonts w:hint="eastAsia" w:ascii="宋体" w:hAnsi="宋体" w:eastAsia="宋体" w:cs="宋体"/>
                <w:color w:val="auto"/>
                <w:kern w:val="0"/>
                <w:sz w:val="18"/>
                <w:szCs w:val="18"/>
                <w:highlight w:val="none"/>
                <w:lang w:val="en-US"/>
              </w:rPr>
              <w:t>2</w:t>
            </w:r>
          </w:p>
        </w:tc>
        <w:tc>
          <w:tcPr>
            <w:tcW w:w="1359" w:type="dxa"/>
            <w:vAlign w:val="center"/>
          </w:tcPr>
          <w:p w14:paraId="0801CCF2">
            <w:pPr>
              <w:widowControl w:val="0"/>
              <w:shd w:val="clear"/>
              <w:jc w:val="center"/>
              <w:rPr>
                <w:rStyle w:val="155"/>
                <w:rFonts w:hint="eastAsia" w:ascii="宋体" w:hAnsi="宋体" w:eastAsia="宋体" w:cs="宋体"/>
                <w:color w:val="auto"/>
                <w:kern w:val="0"/>
                <w:sz w:val="18"/>
                <w:szCs w:val="18"/>
                <w:highlight w:val="none"/>
              </w:rPr>
            </w:pPr>
            <w:r>
              <w:rPr>
                <w:rStyle w:val="155"/>
                <w:rFonts w:hint="eastAsia" w:ascii="宋体" w:hAnsi="宋体" w:eastAsia="宋体" w:cs="宋体"/>
                <w:color w:val="auto"/>
                <w:kern w:val="0"/>
                <w:sz w:val="18"/>
                <w:szCs w:val="18"/>
                <w:highlight w:val="none"/>
              </w:rPr>
              <w:t>商务符合性</w:t>
            </w:r>
          </w:p>
        </w:tc>
        <w:tc>
          <w:tcPr>
            <w:tcW w:w="11115" w:type="dxa"/>
            <w:vAlign w:val="center"/>
          </w:tcPr>
          <w:p w14:paraId="747BD965">
            <w:pPr>
              <w:shd w:val="clea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采购文件商务条款的符合性（符合性：无负偏离或承诺无偏离）</w:t>
            </w:r>
          </w:p>
        </w:tc>
        <w:tc>
          <w:tcPr>
            <w:tcW w:w="657" w:type="dxa"/>
            <w:vAlign w:val="center"/>
          </w:tcPr>
          <w:p w14:paraId="16D9768F">
            <w:pPr>
              <w:widowControl w:val="0"/>
              <w:shd w:val="clear"/>
              <w:rPr>
                <w:rFonts w:hint="eastAsia" w:ascii="宋体" w:hAnsi="宋体" w:eastAsia="宋体" w:cs="宋体"/>
                <w:color w:val="auto"/>
                <w:sz w:val="18"/>
                <w:szCs w:val="18"/>
                <w:highlight w:val="none"/>
              </w:rPr>
            </w:pPr>
          </w:p>
        </w:tc>
      </w:tr>
      <w:tr w14:paraId="3FF7E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3786" w:type="dxa"/>
            <w:gridSpan w:val="4"/>
            <w:vAlign w:val="center"/>
          </w:tcPr>
          <w:p w14:paraId="52194AF5">
            <w:pPr>
              <w:widowControl w:val="0"/>
              <w:shd w:val="clear"/>
              <w:rPr>
                <w:rFonts w:hint="eastAsia" w:ascii="宋体" w:hAnsi="宋体" w:eastAsia="宋体" w:cs="宋体"/>
                <w:color w:val="auto"/>
                <w:sz w:val="18"/>
                <w:szCs w:val="18"/>
                <w:highlight w:val="none"/>
              </w:rPr>
            </w:pPr>
            <w:r>
              <w:rPr>
                <w:rStyle w:val="155"/>
                <w:rFonts w:hint="eastAsia" w:ascii="宋体" w:hAnsi="宋体" w:eastAsia="宋体" w:cs="宋体"/>
                <w:b/>
                <w:color w:val="auto"/>
                <w:kern w:val="0"/>
                <w:sz w:val="18"/>
                <w:szCs w:val="18"/>
                <w:highlight w:val="none"/>
              </w:rPr>
              <w:t>三、无效标检查</w:t>
            </w:r>
          </w:p>
        </w:tc>
      </w:tr>
      <w:tr w14:paraId="7C793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55" w:type="dxa"/>
            <w:vAlign w:val="center"/>
          </w:tcPr>
          <w:p w14:paraId="0AA0B4FE">
            <w:pPr>
              <w:widowControl w:val="0"/>
              <w:shd w:val="clear"/>
              <w:jc w:val="center"/>
              <w:rPr>
                <w:rFonts w:hint="eastAsia" w:ascii="宋体" w:hAnsi="宋体" w:eastAsia="宋体" w:cs="宋体"/>
                <w:color w:val="auto"/>
                <w:sz w:val="18"/>
                <w:szCs w:val="18"/>
                <w:highlight w:val="none"/>
              </w:rPr>
            </w:pPr>
            <w:r>
              <w:rPr>
                <w:rStyle w:val="155"/>
                <w:rFonts w:hint="eastAsia" w:ascii="宋体" w:hAnsi="宋体" w:eastAsia="宋体" w:cs="宋体"/>
                <w:color w:val="auto"/>
                <w:kern w:val="0"/>
                <w:sz w:val="18"/>
                <w:szCs w:val="18"/>
                <w:highlight w:val="none"/>
                <w:lang w:val="en-US"/>
              </w:rPr>
              <w:t>1</w:t>
            </w:r>
          </w:p>
        </w:tc>
        <w:tc>
          <w:tcPr>
            <w:tcW w:w="1359" w:type="dxa"/>
            <w:vAlign w:val="center"/>
          </w:tcPr>
          <w:p w14:paraId="089A92B5">
            <w:pPr>
              <w:widowControl w:val="0"/>
              <w:shd w:val="clear"/>
              <w:jc w:val="center"/>
              <w:rPr>
                <w:rFonts w:hint="eastAsia" w:ascii="宋体" w:hAnsi="宋体" w:eastAsia="宋体" w:cs="宋体"/>
                <w:i/>
                <w:iCs/>
                <w:color w:val="auto"/>
                <w:sz w:val="18"/>
                <w:szCs w:val="18"/>
                <w:highlight w:val="none"/>
              </w:rPr>
            </w:pPr>
            <w:r>
              <w:rPr>
                <w:rStyle w:val="155"/>
                <w:rFonts w:hint="eastAsia" w:ascii="宋体" w:hAnsi="宋体" w:eastAsia="宋体" w:cs="宋体"/>
                <w:color w:val="auto"/>
                <w:kern w:val="0"/>
                <w:sz w:val="18"/>
                <w:szCs w:val="18"/>
                <w:highlight w:val="none"/>
              </w:rPr>
              <w:t>无效标检查</w:t>
            </w:r>
          </w:p>
        </w:tc>
        <w:tc>
          <w:tcPr>
            <w:tcW w:w="11115" w:type="dxa"/>
            <w:vAlign w:val="center"/>
          </w:tcPr>
          <w:p w14:paraId="16FA79B4">
            <w:pPr>
              <w:widowControl w:val="0"/>
              <w:shd w:val="clear"/>
              <w:rPr>
                <w:rFonts w:hint="eastAsia" w:ascii="宋体" w:hAnsi="宋体" w:eastAsia="宋体" w:cs="宋体"/>
                <w:i/>
                <w:iCs/>
                <w:color w:val="auto"/>
                <w:sz w:val="18"/>
                <w:szCs w:val="18"/>
                <w:highlight w:val="none"/>
              </w:rPr>
            </w:pPr>
            <w:r>
              <w:rPr>
                <w:rStyle w:val="155"/>
                <w:rFonts w:hint="eastAsia" w:ascii="宋体" w:hAnsi="宋体" w:eastAsia="宋体" w:cs="宋体"/>
                <w:color w:val="auto"/>
                <w:kern w:val="0"/>
                <w:sz w:val="18"/>
                <w:szCs w:val="18"/>
                <w:highlight w:val="none"/>
              </w:rPr>
              <w:t>按本项目采购文件无效标条款规定，审查是否通过</w:t>
            </w:r>
          </w:p>
        </w:tc>
        <w:tc>
          <w:tcPr>
            <w:tcW w:w="657" w:type="dxa"/>
            <w:vAlign w:val="center"/>
          </w:tcPr>
          <w:p w14:paraId="42317558">
            <w:pPr>
              <w:widowControl w:val="0"/>
              <w:shd w:val="clear"/>
              <w:rPr>
                <w:rFonts w:hint="eastAsia" w:ascii="宋体" w:hAnsi="宋体" w:eastAsia="宋体" w:cs="宋体"/>
                <w:color w:val="auto"/>
                <w:sz w:val="18"/>
                <w:szCs w:val="18"/>
                <w:highlight w:val="none"/>
              </w:rPr>
            </w:pPr>
          </w:p>
        </w:tc>
      </w:tr>
      <w:tr w14:paraId="112EB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3129" w:type="dxa"/>
            <w:gridSpan w:val="3"/>
            <w:tcBorders>
              <w:bottom w:val="single" w:color="auto" w:sz="4" w:space="0"/>
            </w:tcBorders>
            <w:vAlign w:val="center"/>
          </w:tcPr>
          <w:p w14:paraId="293F6E05">
            <w:pPr>
              <w:widowControl w:val="0"/>
              <w:shd w:val="clear"/>
              <w:jc w:val="center"/>
              <w:rPr>
                <w:rFonts w:hint="eastAsia" w:ascii="宋体" w:hAnsi="宋体" w:eastAsia="宋体" w:cs="宋体"/>
                <w:i/>
                <w:iCs/>
                <w:color w:val="auto"/>
                <w:sz w:val="18"/>
                <w:szCs w:val="18"/>
                <w:highlight w:val="none"/>
              </w:rPr>
            </w:pPr>
            <w:r>
              <w:rPr>
                <w:rStyle w:val="155"/>
                <w:rFonts w:hint="eastAsia" w:ascii="宋体" w:hAnsi="宋体" w:eastAsia="宋体" w:cs="宋体"/>
                <w:b/>
                <w:color w:val="auto"/>
                <w:kern w:val="0"/>
                <w:sz w:val="18"/>
                <w:szCs w:val="18"/>
                <w:highlight w:val="none"/>
              </w:rPr>
              <w:t>初步审查结论（通过或不通过）</w:t>
            </w:r>
          </w:p>
        </w:tc>
        <w:tc>
          <w:tcPr>
            <w:tcW w:w="657" w:type="dxa"/>
            <w:tcBorders>
              <w:bottom w:val="single" w:color="auto" w:sz="4" w:space="0"/>
            </w:tcBorders>
            <w:vAlign w:val="center"/>
          </w:tcPr>
          <w:p w14:paraId="1A7C8024">
            <w:pPr>
              <w:widowControl w:val="0"/>
              <w:shd w:val="clear"/>
              <w:rPr>
                <w:rFonts w:hint="eastAsia" w:ascii="宋体" w:hAnsi="宋体" w:eastAsia="宋体" w:cs="宋体"/>
                <w:color w:val="auto"/>
                <w:sz w:val="18"/>
                <w:szCs w:val="18"/>
                <w:highlight w:val="none"/>
              </w:rPr>
            </w:pPr>
          </w:p>
        </w:tc>
      </w:tr>
    </w:tbl>
    <w:p w14:paraId="308786AC">
      <w:pPr>
        <w:widowControl w:val="0"/>
        <w:shd w:val="clear"/>
        <w:spacing w:beforeLines="100" w:afterLines="50" w:line="360" w:lineRule="auto"/>
        <w:rPr>
          <w:rFonts w:hint="eastAsia" w:ascii="宋体" w:hAnsi="宋体" w:cs="宋体"/>
          <w:color w:val="auto"/>
          <w:highlight w:val="none"/>
        </w:rPr>
      </w:pPr>
    </w:p>
    <w:p w14:paraId="6A697C41">
      <w:pPr>
        <w:shd w:val="clear"/>
        <w:tabs>
          <w:tab w:val="left" w:pos="1202"/>
        </w:tabs>
        <w:bidi w:val="0"/>
        <w:jc w:val="left"/>
        <w:rPr>
          <w:rFonts w:hint="eastAsia" w:ascii="Times New Roman" w:hAnsi="Times New Roman" w:eastAsia="宋体" w:cs="Times New Roman"/>
          <w:sz w:val="24"/>
          <w:szCs w:val="24"/>
          <w:highlight w:val="none"/>
          <w:lang w:val="en-US" w:eastAsia="zh-CN" w:bidi="ar-SA"/>
        </w:rPr>
        <w:sectPr>
          <w:headerReference r:id="rId6" w:type="default"/>
          <w:footerReference r:id="rId7" w:type="even"/>
          <w:pgSz w:w="16838" w:h="11906" w:orient="landscape"/>
          <w:pgMar w:top="1418" w:right="1531" w:bottom="1418" w:left="1361" w:header="851" w:footer="992" w:gutter="0"/>
          <w:pgNumType w:fmt="decimal"/>
          <w:cols w:space="720" w:num="1"/>
          <w:docGrid w:type="lines" w:linePitch="312" w:charSpace="0"/>
        </w:sectPr>
      </w:pPr>
      <w:r>
        <w:rPr>
          <w:rFonts w:hint="eastAsia" w:cs="Times New Roman"/>
          <w:sz w:val="24"/>
          <w:szCs w:val="24"/>
          <w:highlight w:val="none"/>
          <w:lang w:val="en-US" w:eastAsia="zh-CN" w:bidi="ar-SA"/>
        </w:rPr>
        <w:tab/>
      </w:r>
      <w:r>
        <w:rPr>
          <w:rFonts w:hint="eastAsia" w:ascii="宋体" w:hAnsi="宋体"/>
          <w:b/>
          <w:color w:val="auto"/>
          <w:sz w:val="24"/>
          <w:szCs w:val="24"/>
          <w:highlight w:val="none"/>
        </w:rPr>
        <w:t>（签字）：</w:t>
      </w:r>
    </w:p>
    <w:p w14:paraId="229811FB">
      <w:pPr>
        <w:shd w:val="clear"/>
        <w:spacing w:line="440" w:lineRule="exact"/>
        <w:ind w:firstLine="480"/>
        <w:rPr>
          <w:rFonts w:ascii="宋体" w:hAnsi="宋体" w:cs="仿宋_GB2312"/>
          <w:color w:val="auto"/>
          <w:highlight w:val="none"/>
        </w:rPr>
      </w:pPr>
      <w:r>
        <w:rPr>
          <w:rFonts w:hint="eastAsia" w:ascii="宋体" w:hAnsi="宋体" w:cs="仿宋_GB2312"/>
          <w:color w:val="auto"/>
          <w:highlight w:val="none"/>
        </w:rPr>
        <w:t>2.评分表</w:t>
      </w:r>
    </w:p>
    <w:p w14:paraId="6B6CB7E8">
      <w:pPr>
        <w:shd w:val="clear"/>
        <w:ind w:firstLine="720"/>
        <w:jc w:val="center"/>
        <w:rPr>
          <w:rFonts w:ascii="仿宋_GB2312" w:hAnsi="宋体" w:cs="宋体"/>
          <w:b/>
          <w:bCs/>
          <w:color w:val="auto"/>
          <w:sz w:val="36"/>
          <w:szCs w:val="36"/>
          <w:highlight w:val="none"/>
          <w:u w:val="single"/>
        </w:rPr>
      </w:pPr>
      <w:r>
        <w:rPr>
          <w:rFonts w:hint="eastAsia" w:ascii="仿宋_GB2312" w:hAnsi="宋体" w:cs="宋体"/>
          <w:b/>
          <w:bCs/>
          <w:color w:val="auto"/>
          <w:sz w:val="36"/>
          <w:szCs w:val="36"/>
          <w:highlight w:val="none"/>
          <w:u w:val="single"/>
        </w:rPr>
        <w:t>评分表</w:t>
      </w:r>
    </w:p>
    <w:p w14:paraId="7017C707">
      <w:pPr>
        <w:pStyle w:val="11"/>
        <w:shd w:val="clear"/>
        <w:ind w:left="0" w:leftChars="0" w:firstLine="0" w:firstLineChars="0"/>
        <w:rPr>
          <w:rFonts w:hint="eastAsia" w:eastAsia="宋体"/>
          <w:highlight w:val="none"/>
          <w:lang w:eastAsia="zh-CN"/>
        </w:rPr>
      </w:pPr>
    </w:p>
    <w:tbl>
      <w:tblPr>
        <w:tblStyle w:val="34"/>
        <w:tblW w:w="84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8"/>
        <w:gridCol w:w="1168"/>
        <w:gridCol w:w="1275"/>
        <w:gridCol w:w="559"/>
        <w:gridCol w:w="4756"/>
      </w:tblGrid>
      <w:tr w14:paraId="16F2E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F39A9">
            <w:pPr>
              <w:keepNext w:val="0"/>
              <w:keepLines w:val="0"/>
              <w:widowControl/>
              <w:suppressLineNumbers w:val="0"/>
              <w:jc w:val="left"/>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序号</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63D0C">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评审项目</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024E7">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项目</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FA185">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分值</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70F2">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评分标准</w:t>
            </w:r>
          </w:p>
        </w:tc>
      </w:tr>
      <w:tr w14:paraId="273AB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89A71">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3825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价格分</w:t>
            </w:r>
          </w:p>
          <w:p w14:paraId="2B63F66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（30分）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58474">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报价部分</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7CD75">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30</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FD42">
            <w:pPr>
              <w:keepNext w:val="0"/>
              <w:keepLines w:val="0"/>
              <w:widowControl/>
              <w:suppressLineNumbers w:val="0"/>
              <w:jc w:val="both"/>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 xml:space="preserve">得分计算公式：C=30-|Pn-P|÷P×100×K </w:t>
            </w:r>
          </w:p>
          <w:p w14:paraId="002DFBCE">
            <w:pPr>
              <w:keepNext w:val="0"/>
              <w:keepLines w:val="0"/>
              <w:widowControl/>
              <w:suppressLineNumbers w:val="0"/>
              <w:jc w:val="both"/>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C–报价得分(C≥0) Pn–投标人有效报价 P–评标基准价 K–扣分分值</w:t>
            </w:r>
          </w:p>
          <w:p w14:paraId="718A7356">
            <w:pPr>
              <w:keepNext w:val="0"/>
              <w:keepLines w:val="0"/>
              <w:widowControl/>
              <w:suppressLineNumbers w:val="0"/>
              <w:jc w:val="both"/>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 xml:space="preserve"> ①评标基准价计算:P=(P1+P2+…+Pn)÷n </w:t>
            </w:r>
          </w:p>
          <w:p w14:paraId="5A476DF9">
            <w:pPr>
              <w:keepNext w:val="0"/>
              <w:keepLines w:val="0"/>
              <w:widowControl/>
              <w:suppressLineNumbers w:val="0"/>
              <w:jc w:val="both"/>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P1、P2……Pn 为 n 个有效投标报价,当有效投标个数 n&gt;3 且 n ≤9 时，P 为去掉一个最高和一个最低报价后的算术平均值； 当有效投标个数 n&gt;9 时，P 为去掉二个最高和一个最低报价 后的算术平均值；当有效投标个数 n≤3 个时，P 为全部有效 投标报价的算术平均值。</w:t>
            </w:r>
          </w:p>
          <w:p w14:paraId="12E8AF8E">
            <w:pPr>
              <w:keepNext w:val="0"/>
              <w:keepLines w:val="0"/>
              <w:widowControl/>
              <w:suppressLineNumbers w:val="0"/>
              <w:jc w:val="both"/>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有效投标报价界定：项目报价上限值≥有效投标报价</w:t>
            </w:r>
          </w:p>
          <w:p w14:paraId="001F2D20">
            <w:pPr>
              <w:keepNext w:val="0"/>
              <w:keepLines w:val="0"/>
              <w:widowControl/>
              <w:suppressLineNumbers w:val="0"/>
              <w:jc w:val="both"/>
              <w:textAlignment w:val="center"/>
              <w:rPr>
                <w:rFonts w:hint="eastAsia" w:ascii="宋体" w:hAnsi="宋体" w:eastAsia="宋体" w:cs="宋体"/>
                <w:b w:val="0"/>
                <w:bCs w:val="0"/>
                <w:color w:val="000000"/>
                <w:sz w:val="24"/>
                <w:szCs w:val="24"/>
              </w:rPr>
            </w:pPr>
            <w:r>
              <w:rPr>
                <w:rFonts w:hint="eastAsia" w:ascii="仿宋_GB2312" w:hAnsi="宋体" w:eastAsia="仿宋_GB2312" w:cs="仿宋_GB2312"/>
                <w:i w:val="0"/>
                <w:iCs w:val="0"/>
                <w:color w:val="000000"/>
                <w:kern w:val="0"/>
                <w:sz w:val="21"/>
                <w:szCs w:val="21"/>
                <w:u w:val="none"/>
                <w:lang w:val="en-US" w:eastAsia="zh-CN" w:bidi="ar"/>
              </w:rPr>
              <w:t xml:space="preserve"> ②K 值：Pn 大于 P 时，K 取 0.2；Pn 小于 P 时，K 取 0.1；Pn 等于 P 时，K 取 0。</w:t>
            </w:r>
          </w:p>
        </w:tc>
      </w:tr>
      <w:tr w14:paraId="690D2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3" w:hRule="atLeast"/>
          <w:jc w:val="center"/>
        </w:trPr>
        <w:tc>
          <w:tcPr>
            <w:tcW w:w="658" w:type="dxa"/>
            <w:vMerge w:val="restart"/>
            <w:tcBorders>
              <w:top w:val="single" w:color="000000" w:sz="4" w:space="0"/>
              <w:left w:val="single" w:color="000000" w:sz="4" w:space="0"/>
              <w:right w:val="single" w:color="000000" w:sz="4" w:space="0"/>
            </w:tcBorders>
            <w:shd w:val="clear" w:color="auto" w:fill="auto"/>
            <w:noWrap/>
            <w:vAlign w:val="center"/>
          </w:tcPr>
          <w:p w14:paraId="02A32C7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w:t>
            </w:r>
          </w:p>
        </w:tc>
        <w:tc>
          <w:tcPr>
            <w:tcW w:w="1168" w:type="dxa"/>
            <w:vMerge w:val="restart"/>
            <w:tcBorders>
              <w:top w:val="nil"/>
              <w:left w:val="single" w:color="000000" w:sz="4" w:space="0"/>
              <w:bottom w:val="nil"/>
              <w:right w:val="single" w:color="000000" w:sz="4" w:space="0"/>
            </w:tcBorders>
            <w:shd w:val="clear" w:color="auto" w:fill="auto"/>
            <w:vAlign w:val="center"/>
          </w:tcPr>
          <w:p w14:paraId="1055960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商务分</w:t>
            </w:r>
          </w:p>
          <w:p w14:paraId="564D022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（46分）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2388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企业资质</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5551C">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D4EAB">
            <w:pPr>
              <w:keepNext w:val="0"/>
              <w:keepLines w:val="0"/>
              <w:widowControl/>
              <w:suppressLineNumbers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供应商在“全国投资项目在线审批监管平台”备案，且在平台“工程咨询单位名录查询--工程咨询单位名录--工程咨询单位详情”查询到的咨询专业包含“石化，化工，医药”专业（提供网页截图）或具备乙级及以上资质。</w:t>
            </w:r>
          </w:p>
        </w:tc>
      </w:tr>
      <w:tr w14:paraId="3366D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3" w:hRule="atLeast"/>
          <w:jc w:val="center"/>
        </w:trPr>
        <w:tc>
          <w:tcPr>
            <w:tcW w:w="658" w:type="dxa"/>
            <w:vMerge w:val="continue"/>
            <w:tcBorders>
              <w:left w:val="single" w:color="000000" w:sz="4" w:space="0"/>
              <w:right w:val="single" w:color="000000" w:sz="4" w:space="0"/>
            </w:tcBorders>
            <w:shd w:val="clear" w:color="auto" w:fill="auto"/>
            <w:noWrap/>
            <w:vAlign w:val="center"/>
          </w:tcPr>
          <w:p w14:paraId="3D4DD2A5">
            <w:pPr>
              <w:jc w:val="center"/>
              <w:rPr>
                <w:rFonts w:hint="eastAsia" w:ascii="仿宋_GB2312" w:hAnsi="宋体" w:eastAsia="仿宋_GB2312" w:cs="仿宋_GB2312"/>
                <w:i w:val="0"/>
                <w:iCs w:val="0"/>
                <w:color w:val="000000"/>
                <w:sz w:val="22"/>
                <w:szCs w:val="22"/>
                <w:u w:val="none"/>
              </w:rPr>
            </w:pPr>
          </w:p>
        </w:tc>
        <w:tc>
          <w:tcPr>
            <w:tcW w:w="1168" w:type="dxa"/>
            <w:vMerge w:val="continue"/>
            <w:tcBorders>
              <w:top w:val="nil"/>
              <w:left w:val="single" w:color="000000" w:sz="4" w:space="0"/>
              <w:bottom w:val="nil"/>
              <w:right w:val="single" w:color="000000" w:sz="4" w:space="0"/>
            </w:tcBorders>
            <w:shd w:val="clear" w:color="auto" w:fill="auto"/>
            <w:vAlign w:val="center"/>
          </w:tcPr>
          <w:p w14:paraId="53EED9A8">
            <w:pPr>
              <w:jc w:val="center"/>
              <w:rPr>
                <w:rFonts w:hint="eastAsia" w:ascii="仿宋_GB2312" w:hAnsi="宋体" w:eastAsia="仿宋_GB2312" w:cs="仿宋_GB2312"/>
                <w:i w:val="0"/>
                <w:iCs w:val="0"/>
                <w:color w:val="000000"/>
                <w:sz w:val="21"/>
                <w:szCs w:val="21"/>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F78A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同类项目经验</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E259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15</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207C2">
            <w:pPr>
              <w:keepNext w:val="0"/>
              <w:keepLines w:val="0"/>
              <w:widowControl/>
              <w:suppressLineNumbers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近三年（2022 年 - 2024 年）承担过类似股权收购项目的工程咨询项目：类似项目指在项目性质、交易规模、行业领域等方面与本项目具有可比性的股权收购可研编制或相关工程咨询项目。提供一个合同得 5 分，最高得 15 分。</w:t>
            </w:r>
          </w:p>
        </w:tc>
      </w:tr>
      <w:tr w14:paraId="1B7C4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2" w:hRule="atLeast"/>
          <w:jc w:val="center"/>
        </w:trPr>
        <w:tc>
          <w:tcPr>
            <w:tcW w:w="658" w:type="dxa"/>
            <w:vMerge w:val="continue"/>
            <w:tcBorders>
              <w:left w:val="single" w:color="000000" w:sz="4" w:space="0"/>
              <w:right w:val="single" w:color="000000" w:sz="4" w:space="0"/>
            </w:tcBorders>
            <w:shd w:val="clear" w:color="auto" w:fill="auto"/>
            <w:noWrap/>
            <w:vAlign w:val="center"/>
          </w:tcPr>
          <w:p w14:paraId="53D6C0C6">
            <w:pPr>
              <w:jc w:val="center"/>
              <w:rPr>
                <w:rFonts w:hint="eastAsia" w:ascii="仿宋_GB2312" w:hAnsi="宋体" w:eastAsia="仿宋_GB2312" w:cs="仿宋_GB2312"/>
                <w:i w:val="0"/>
                <w:iCs w:val="0"/>
                <w:color w:val="000000"/>
                <w:sz w:val="22"/>
                <w:szCs w:val="22"/>
                <w:u w:val="none"/>
              </w:rPr>
            </w:pPr>
          </w:p>
        </w:tc>
        <w:tc>
          <w:tcPr>
            <w:tcW w:w="1168" w:type="dxa"/>
            <w:vMerge w:val="continue"/>
            <w:tcBorders>
              <w:top w:val="nil"/>
              <w:left w:val="single" w:color="000000" w:sz="4" w:space="0"/>
              <w:bottom w:val="nil"/>
              <w:right w:val="single" w:color="000000" w:sz="4" w:space="0"/>
            </w:tcBorders>
            <w:shd w:val="clear" w:color="auto" w:fill="auto"/>
            <w:vAlign w:val="center"/>
          </w:tcPr>
          <w:p w14:paraId="50174322">
            <w:pPr>
              <w:jc w:val="center"/>
              <w:rPr>
                <w:rFonts w:hint="eastAsia" w:ascii="仿宋_GB2312" w:hAnsi="宋体" w:eastAsia="仿宋_GB2312" w:cs="仿宋_GB2312"/>
                <w:i w:val="0"/>
                <w:iCs w:val="0"/>
                <w:color w:val="000000"/>
                <w:sz w:val="21"/>
                <w:szCs w:val="21"/>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C176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财务状况</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C666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565B8">
            <w:pPr>
              <w:keepNext w:val="0"/>
              <w:keepLines w:val="0"/>
              <w:widowControl/>
              <w:suppressLineNumbers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供应商需提供经专业审计机构审计的2023年或 2024 年度财务报告或提供基本开户银行出具的资信证明，得 5分。</w:t>
            </w:r>
          </w:p>
        </w:tc>
      </w:tr>
      <w:tr w14:paraId="60BA1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2" w:hRule="atLeast"/>
          <w:jc w:val="center"/>
        </w:trPr>
        <w:tc>
          <w:tcPr>
            <w:tcW w:w="658" w:type="dxa"/>
            <w:vMerge w:val="continue"/>
            <w:tcBorders>
              <w:left w:val="single" w:color="000000" w:sz="4" w:space="0"/>
              <w:right w:val="single" w:color="000000" w:sz="4" w:space="0"/>
            </w:tcBorders>
            <w:shd w:val="clear" w:color="auto" w:fill="auto"/>
            <w:noWrap/>
            <w:vAlign w:val="center"/>
          </w:tcPr>
          <w:p w14:paraId="02E71E91">
            <w:pPr>
              <w:jc w:val="center"/>
              <w:rPr>
                <w:rFonts w:hint="eastAsia" w:ascii="仿宋_GB2312" w:hAnsi="宋体" w:eastAsia="仿宋_GB2312" w:cs="仿宋_GB2312"/>
                <w:i w:val="0"/>
                <w:iCs w:val="0"/>
                <w:color w:val="000000"/>
                <w:sz w:val="22"/>
                <w:szCs w:val="22"/>
                <w:u w:val="none"/>
              </w:rPr>
            </w:pPr>
          </w:p>
        </w:tc>
        <w:tc>
          <w:tcPr>
            <w:tcW w:w="1168" w:type="dxa"/>
            <w:tcBorders>
              <w:top w:val="nil"/>
              <w:left w:val="single" w:color="000000" w:sz="4" w:space="0"/>
              <w:bottom w:val="nil"/>
              <w:right w:val="single" w:color="000000" w:sz="4" w:space="0"/>
            </w:tcBorders>
            <w:shd w:val="clear" w:color="auto" w:fill="auto"/>
            <w:vAlign w:val="center"/>
          </w:tcPr>
          <w:p w14:paraId="001C0F2A">
            <w:pPr>
              <w:jc w:val="center"/>
              <w:rPr>
                <w:rFonts w:hint="eastAsia" w:ascii="仿宋_GB2312" w:hAnsi="宋体" w:eastAsia="仿宋_GB2312" w:cs="仿宋_GB2312"/>
                <w:i w:val="0"/>
                <w:iCs w:val="0"/>
                <w:color w:val="000000"/>
                <w:sz w:val="21"/>
                <w:szCs w:val="21"/>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0B40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信誉情况</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22695">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0920">
            <w:pPr>
              <w:keepNext w:val="0"/>
              <w:keepLines w:val="0"/>
              <w:widowControl/>
              <w:suppressLineNumbers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未被列入失信被执行人、税收违法黑名单、政府采购严重违法失信行为记录名单：以 “信用中国” 网站、“中国政府采购网” 网站查询结果为准，截止至比选截止日，无不良记录得 5 分，如有则不得分。</w:t>
            </w:r>
          </w:p>
        </w:tc>
      </w:tr>
      <w:tr w14:paraId="3F89D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2" w:hRule="atLeast"/>
          <w:jc w:val="center"/>
        </w:trPr>
        <w:tc>
          <w:tcPr>
            <w:tcW w:w="658" w:type="dxa"/>
            <w:vMerge w:val="continue"/>
            <w:tcBorders>
              <w:left w:val="single" w:color="000000" w:sz="4" w:space="0"/>
              <w:right w:val="single" w:color="000000" w:sz="4" w:space="0"/>
            </w:tcBorders>
            <w:shd w:val="clear" w:color="auto" w:fill="auto"/>
            <w:noWrap/>
            <w:vAlign w:val="center"/>
          </w:tcPr>
          <w:p w14:paraId="1B514F95">
            <w:pPr>
              <w:jc w:val="center"/>
              <w:rPr>
                <w:rFonts w:hint="eastAsia" w:ascii="仿宋_GB2312" w:hAnsi="宋体" w:eastAsia="仿宋_GB2312" w:cs="仿宋_GB2312"/>
                <w:i w:val="0"/>
                <w:iCs w:val="0"/>
                <w:color w:val="000000"/>
                <w:sz w:val="22"/>
                <w:szCs w:val="22"/>
                <w:u w:val="none"/>
              </w:rPr>
            </w:pPr>
          </w:p>
        </w:tc>
        <w:tc>
          <w:tcPr>
            <w:tcW w:w="1168" w:type="dxa"/>
            <w:tcBorders>
              <w:top w:val="nil"/>
              <w:left w:val="single" w:color="000000" w:sz="4" w:space="0"/>
              <w:bottom w:val="nil"/>
              <w:right w:val="single" w:color="000000" w:sz="4" w:space="0"/>
            </w:tcBorders>
            <w:shd w:val="clear" w:color="auto" w:fill="auto"/>
            <w:vAlign w:val="center"/>
          </w:tcPr>
          <w:p w14:paraId="03BCFFDC">
            <w:pPr>
              <w:jc w:val="center"/>
              <w:rPr>
                <w:rFonts w:hint="eastAsia" w:ascii="仿宋_GB2312" w:hAnsi="宋体" w:eastAsia="仿宋_GB2312" w:cs="仿宋_GB2312"/>
                <w:i w:val="0"/>
                <w:iCs w:val="0"/>
                <w:color w:val="000000"/>
                <w:sz w:val="21"/>
                <w:szCs w:val="21"/>
                <w:u w:val="none"/>
              </w:rPr>
            </w:pPr>
          </w:p>
        </w:tc>
        <w:tc>
          <w:tcPr>
            <w:tcW w:w="1275" w:type="dxa"/>
            <w:vMerge w:val="restart"/>
            <w:tcBorders>
              <w:top w:val="single" w:color="000000" w:sz="4" w:space="0"/>
              <w:left w:val="single" w:color="000000" w:sz="4" w:space="0"/>
              <w:right w:val="single" w:color="000000" w:sz="4" w:space="0"/>
            </w:tcBorders>
            <w:shd w:val="clear" w:color="auto" w:fill="auto"/>
            <w:vAlign w:val="center"/>
          </w:tcPr>
          <w:p w14:paraId="57E518A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项目团队</w:t>
            </w:r>
          </w:p>
        </w:tc>
        <w:tc>
          <w:tcPr>
            <w:tcW w:w="559" w:type="dxa"/>
            <w:vMerge w:val="restart"/>
            <w:tcBorders>
              <w:top w:val="single" w:color="000000" w:sz="4" w:space="0"/>
              <w:left w:val="single" w:color="000000" w:sz="4" w:space="0"/>
              <w:right w:val="single" w:color="000000" w:sz="4" w:space="0"/>
            </w:tcBorders>
            <w:shd w:val="clear" w:color="auto" w:fill="auto"/>
            <w:vAlign w:val="center"/>
          </w:tcPr>
          <w:p w14:paraId="34345360">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10</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48267">
            <w:pPr>
              <w:keepNext w:val="0"/>
              <w:keepLines w:val="0"/>
              <w:widowControl/>
              <w:suppressLineNumbers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项目负责人：具有注册咨询工程师（投资）资格证书，且具备注册会计师职称得 5 分；仅具备注册咨询工程师（投资）资格证书得 2 分；仅具备注册会计师职称得 3 分。</w:t>
            </w:r>
          </w:p>
          <w:p w14:paraId="4682197E">
            <w:pPr>
              <w:keepNext w:val="0"/>
              <w:keepLines w:val="0"/>
              <w:widowControl/>
              <w:suppressLineNumbers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p>
        </w:tc>
      </w:tr>
      <w:tr w14:paraId="715DD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2" w:hRule="atLeast"/>
          <w:jc w:val="center"/>
        </w:trPr>
        <w:tc>
          <w:tcPr>
            <w:tcW w:w="658" w:type="dxa"/>
            <w:vMerge w:val="continue"/>
            <w:tcBorders>
              <w:left w:val="single" w:color="000000" w:sz="4" w:space="0"/>
              <w:bottom w:val="single" w:color="000000" w:sz="4" w:space="0"/>
              <w:right w:val="single" w:color="000000" w:sz="4" w:space="0"/>
            </w:tcBorders>
            <w:shd w:val="clear" w:color="auto" w:fill="auto"/>
            <w:noWrap/>
            <w:vAlign w:val="center"/>
          </w:tcPr>
          <w:p w14:paraId="224AE2CE">
            <w:pPr>
              <w:jc w:val="center"/>
              <w:rPr>
                <w:rFonts w:hint="eastAsia" w:ascii="仿宋_GB2312" w:hAnsi="宋体" w:eastAsia="仿宋_GB2312" w:cs="仿宋_GB2312"/>
                <w:i w:val="0"/>
                <w:iCs w:val="0"/>
                <w:color w:val="000000"/>
                <w:sz w:val="22"/>
                <w:szCs w:val="22"/>
                <w:u w:val="none"/>
              </w:rPr>
            </w:pPr>
          </w:p>
        </w:tc>
        <w:tc>
          <w:tcPr>
            <w:tcW w:w="1168" w:type="dxa"/>
            <w:tcBorders>
              <w:top w:val="nil"/>
              <w:left w:val="single" w:color="000000" w:sz="4" w:space="0"/>
              <w:bottom w:val="nil"/>
              <w:right w:val="single" w:color="000000" w:sz="4" w:space="0"/>
            </w:tcBorders>
            <w:shd w:val="clear" w:color="auto" w:fill="auto"/>
            <w:vAlign w:val="center"/>
          </w:tcPr>
          <w:p w14:paraId="41F6B958">
            <w:pPr>
              <w:jc w:val="center"/>
              <w:rPr>
                <w:rFonts w:hint="eastAsia" w:ascii="仿宋_GB2312" w:hAnsi="宋体" w:eastAsia="仿宋_GB2312" w:cs="仿宋_GB2312"/>
                <w:i w:val="0"/>
                <w:iCs w:val="0"/>
                <w:color w:val="000000"/>
                <w:sz w:val="21"/>
                <w:szCs w:val="21"/>
                <w:u w:val="none"/>
              </w:rPr>
            </w:pPr>
          </w:p>
        </w:tc>
        <w:tc>
          <w:tcPr>
            <w:tcW w:w="1275" w:type="dxa"/>
            <w:vMerge w:val="continue"/>
            <w:tcBorders>
              <w:left w:val="single" w:color="000000" w:sz="4" w:space="0"/>
              <w:bottom w:val="single" w:color="000000" w:sz="4" w:space="0"/>
              <w:right w:val="single" w:color="000000" w:sz="4" w:space="0"/>
            </w:tcBorders>
            <w:shd w:val="clear" w:color="auto" w:fill="auto"/>
            <w:vAlign w:val="center"/>
          </w:tcPr>
          <w:p w14:paraId="252D78D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p>
        </w:tc>
        <w:tc>
          <w:tcPr>
            <w:tcW w:w="559" w:type="dxa"/>
            <w:vMerge w:val="continue"/>
            <w:tcBorders>
              <w:left w:val="single" w:color="000000" w:sz="4" w:space="0"/>
              <w:bottom w:val="single" w:color="000000" w:sz="4" w:space="0"/>
              <w:right w:val="single" w:color="000000" w:sz="4" w:space="0"/>
            </w:tcBorders>
            <w:shd w:val="clear" w:color="auto" w:fill="auto"/>
            <w:vAlign w:val="center"/>
          </w:tcPr>
          <w:p w14:paraId="1E7B195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8A1F4">
            <w:pPr>
              <w:keepNext w:val="0"/>
              <w:keepLines w:val="0"/>
              <w:widowControl/>
              <w:suppressLineNumbers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团队成员专业配置：团队成员专业应广泛涵盖财务分析、法律合规、行业研究等与股权收购可研编制紧密相关专业，且各专业人员数量合理得 5 分。例如，针对复杂的股权收购项目，需有足够的财务人员进行细致的财务分析，法律人员把控合规风险等。每缺少一个关键专业扣 2 分，专业人员数量不足酌情扣 1 - 2 分。需提供团队成员的资格证书、职称证书及劳动合同证明其为本单位员工，确保团队稳定性与专业性。</w:t>
            </w:r>
          </w:p>
        </w:tc>
      </w:tr>
      <w:tr w14:paraId="71AAE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2" w:hRule="atLeast"/>
          <w:jc w:val="center"/>
        </w:trPr>
        <w:tc>
          <w:tcPr>
            <w:tcW w:w="658" w:type="dxa"/>
            <w:tcBorders>
              <w:left w:val="single" w:color="000000" w:sz="4" w:space="0"/>
              <w:bottom w:val="single" w:color="000000" w:sz="4" w:space="0"/>
              <w:right w:val="single" w:color="000000" w:sz="4" w:space="0"/>
            </w:tcBorders>
            <w:shd w:val="clear" w:color="auto" w:fill="auto"/>
            <w:noWrap/>
            <w:vAlign w:val="center"/>
          </w:tcPr>
          <w:p w14:paraId="52A074F4">
            <w:pPr>
              <w:jc w:val="center"/>
              <w:rPr>
                <w:rFonts w:hint="eastAsia" w:ascii="仿宋_GB2312" w:hAnsi="宋体" w:eastAsia="仿宋_GB2312" w:cs="仿宋_GB2312"/>
                <w:i w:val="0"/>
                <w:iCs w:val="0"/>
                <w:color w:val="000000"/>
                <w:sz w:val="22"/>
                <w:szCs w:val="22"/>
                <w:u w:val="none"/>
              </w:rPr>
            </w:pPr>
          </w:p>
        </w:tc>
        <w:tc>
          <w:tcPr>
            <w:tcW w:w="1168" w:type="dxa"/>
            <w:tcBorders>
              <w:top w:val="nil"/>
              <w:left w:val="single" w:color="000000" w:sz="4" w:space="0"/>
              <w:bottom w:val="nil"/>
              <w:right w:val="single" w:color="000000" w:sz="4" w:space="0"/>
            </w:tcBorders>
            <w:shd w:val="clear" w:color="auto" w:fill="auto"/>
            <w:vAlign w:val="center"/>
          </w:tcPr>
          <w:p w14:paraId="7475EB47">
            <w:pPr>
              <w:jc w:val="center"/>
              <w:rPr>
                <w:rFonts w:hint="eastAsia" w:ascii="仿宋_GB2312" w:hAnsi="宋体" w:eastAsia="仿宋_GB2312" w:cs="仿宋_GB2312"/>
                <w:i w:val="0"/>
                <w:iCs w:val="0"/>
                <w:color w:val="000000"/>
                <w:sz w:val="21"/>
                <w:szCs w:val="21"/>
                <w:u w:val="none"/>
              </w:rPr>
            </w:pPr>
          </w:p>
        </w:tc>
        <w:tc>
          <w:tcPr>
            <w:tcW w:w="1275" w:type="dxa"/>
            <w:vMerge w:val="restart"/>
            <w:tcBorders>
              <w:left w:val="single" w:color="000000" w:sz="4" w:space="0"/>
              <w:right w:val="single" w:color="000000" w:sz="4" w:space="0"/>
            </w:tcBorders>
            <w:shd w:val="clear" w:color="auto" w:fill="auto"/>
            <w:vAlign w:val="center"/>
          </w:tcPr>
          <w:p w14:paraId="3540628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后续服务承诺</w:t>
            </w:r>
          </w:p>
        </w:tc>
        <w:tc>
          <w:tcPr>
            <w:tcW w:w="559" w:type="dxa"/>
            <w:tcBorders>
              <w:left w:val="single" w:color="000000" w:sz="4" w:space="0"/>
              <w:bottom w:val="single" w:color="000000" w:sz="4" w:space="0"/>
              <w:right w:val="single" w:color="000000" w:sz="4" w:space="0"/>
            </w:tcBorders>
            <w:shd w:val="clear" w:color="auto" w:fill="auto"/>
            <w:vAlign w:val="center"/>
          </w:tcPr>
          <w:p w14:paraId="5CD9D71D">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73F6">
            <w:pPr>
              <w:keepNext w:val="0"/>
              <w:keepLines w:val="0"/>
              <w:widowControl/>
              <w:suppressLineNumbers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服务响应时间承诺：承诺在接到业主需求后，规定时间内（24 小时）响应得 3 分，超过规定时间不得分。</w:t>
            </w:r>
          </w:p>
        </w:tc>
      </w:tr>
      <w:tr w14:paraId="666B4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2" w:hRule="atLeast"/>
          <w:jc w:val="center"/>
        </w:trPr>
        <w:tc>
          <w:tcPr>
            <w:tcW w:w="658" w:type="dxa"/>
            <w:tcBorders>
              <w:left w:val="single" w:color="000000" w:sz="4" w:space="0"/>
              <w:bottom w:val="single" w:color="000000" w:sz="4" w:space="0"/>
              <w:right w:val="single" w:color="000000" w:sz="4" w:space="0"/>
            </w:tcBorders>
            <w:shd w:val="clear" w:color="auto" w:fill="auto"/>
            <w:noWrap/>
            <w:vAlign w:val="center"/>
          </w:tcPr>
          <w:p w14:paraId="1E4AC5BB">
            <w:pPr>
              <w:jc w:val="center"/>
              <w:rPr>
                <w:rFonts w:hint="eastAsia" w:ascii="仿宋_GB2312" w:hAnsi="宋体" w:eastAsia="仿宋_GB2312" w:cs="仿宋_GB2312"/>
                <w:i w:val="0"/>
                <w:iCs w:val="0"/>
                <w:color w:val="000000"/>
                <w:sz w:val="22"/>
                <w:szCs w:val="22"/>
                <w:u w:val="none"/>
              </w:rPr>
            </w:pPr>
          </w:p>
        </w:tc>
        <w:tc>
          <w:tcPr>
            <w:tcW w:w="1168" w:type="dxa"/>
            <w:tcBorders>
              <w:top w:val="nil"/>
              <w:left w:val="single" w:color="000000" w:sz="4" w:space="0"/>
              <w:bottom w:val="nil"/>
              <w:right w:val="single" w:color="000000" w:sz="4" w:space="0"/>
            </w:tcBorders>
            <w:shd w:val="clear" w:color="auto" w:fill="auto"/>
            <w:vAlign w:val="center"/>
          </w:tcPr>
          <w:p w14:paraId="65859490">
            <w:pPr>
              <w:jc w:val="center"/>
              <w:rPr>
                <w:rFonts w:hint="eastAsia" w:ascii="仿宋_GB2312" w:hAnsi="宋体" w:eastAsia="仿宋_GB2312" w:cs="仿宋_GB2312"/>
                <w:i w:val="0"/>
                <w:iCs w:val="0"/>
                <w:color w:val="000000"/>
                <w:sz w:val="21"/>
                <w:szCs w:val="21"/>
                <w:u w:val="none"/>
              </w:rPr>
            </w:pPr>
          </w:p>
        </w:tc>
        <w:tc>
          <w:tcPr>
            <w:tcW w:w="1275" w:type="dxa"/>
            <w:vMerge w:val="continue"/>
            <w:tcBorders>
              <w:left w:val="single" w:color="000000" w:sz="4" w:space="0"/>
              <w:bottom w:val="single" w:color="000000" w:sz="4" w:space="0"/>
              <w:right w:val="single" w:color="000000" w:sz="4" w:space="0"/>
            </w:tcBorders>
            <w:shd w:val="clear" w:color="auto" w:fill="auto"/>
            <w:vAlign w:val="center"/>
          </w:tcPr>
          <w:p w14:paraId="5151F44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p>
        </w:tc>
        <w:tc>
          <w:tcPr>
            <w:tcW w:w="559" w:type="dxa"/>
            <w:tcBorders>
              <w:left w:val="single" w:color="000000" w:sz="4" w:space="0"/>
              <w:bottom w:val="single" w:color="000000" w:sz="4" w:space="0"/>
              <w:right w:val="single" w:color="000000" w:sz="4" w:space="0"/>
            </w:tcBorders>
            <w:shd w:val="clear" w:color="auto" w:fill="auto"/>
            <w:vAlign w:val="center"/>
          </w:tcPr>
          <w:p w14:paraId="00A9794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5F44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服务期限及售后服务承诺：明确服务期限，且承诺在服务期限内提供优质售后服务，如定期回访项目成果应用情况、根据政策法规变化及时提供报告调整建议、协助业主应对可能的审核反馈等得 3 分。服务期限不明确或售后服务承诺不具体，如仅简单提及售后服务但无具体措施，酌情扣 1 - 2 分。</w:t>
            </w:r>
          </w:p>
        </w:tc>
      </w:tr>
      <w:tr w14:paraId="42798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1" w:hRule="atLeast"/>
          <w:jc w:val="center"/>
        </w:trPr>
        <w:tc>
          <w:tcPr>
            <w:tcW w:w="658" w:type="dxa"/>
            <w:vMerge w:val="restart"/>
            <w:tcBorders>
              <w:top w:val="single" w:color="000000" w:sz="4" w:space="0"/>
              <w:left w:val="single" w:color="000000" w:sz="4" w:space="0"/>
              <w:right w:val="single" w:color="000000" w:sz="4" w:space="0"/>
            </w:tcBorders>
            <w:shd w:val="clear" w:color="auto" w:fill="auto"/>
            <w:noWrap/>
            <w:vAlign w:val="center"/>
          </w:tcPr>
          <w:p w14:paraId="7624E47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w:t>
            </w:r>
          </w:p>
        </w:tc>
        <w:tc>
          <w:tcPr>
            <w:tcW w:w="1168" w:type="dxa"/>
            <w:vMerge w:val="restart"/>
            <w:tcBorders>
              <w:top w:val="single" w:color="000000" w:sz="4" w:space="0"/>
              <w:left w:val="single" w:color="000000" w:sz="4" w:space="0"/>
              <w:right w:val="single" w:color="000000" w:sz="4" w:space="0"/>
            </w:tcBorders>
            <w:shd w:val="clear" w:color="auto" w:fill="auto"/>
            <w:vAlign w:val="center"/>
          </w:tcPr>
          <w:p w14:paraId="3F5E8DB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技术分</w:t>
            </w:r>
          </w:p>
          <w:p w14:paraId="1752C5E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 xml:space="preserve">（24分）  </w:t>
            </w:r>
          </w:p>
        </w:tc>
        <w:tc>
          <w:tcPr>
            <w:tcW w:w="1275" w:type="dxa"/>
            <w:vMerge w:val="restart"/>
            <w:tcBorders>
              <w:top w:val="single" w:color="000000" w:sz="4" w:space="0"/>
              <w:left w:val="single" w:color="000000" w:sz="4" w:space="0"/>
              <w:right w:val="single" w:color="000000" w:sz="4" w:space="0"/>
            </w:tcBorders>
            <w:shd w:val="clear" w:color="auto" w:fill="auto"/>
            <w:vAlign w:val="center"/>
          </w:tcPr>
          <w:p w14:paraId="273E5DC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咨询服务方案</w:t>
            </w:r>
          </w:p>
        </w:tc>
        <w:tc>
          <w:tcPr>
            <w:tcW w:w="559" w:type="dxa"/>
            <w:tcBorders>
              <w:top w:val="single" w:color="000000" w:sz="4" w:space="0"/>
              <w:left w:val="single" w:color="000000" w:sz="4" w:space="0"/>
              <w:bottom w:val="nil"/>
              <w:right w:val="single" w:color="000000" w:sz="4" w:space="0"/>
            </w:tcBorders>
            <w:shd w:val="clear" w:color="auto" w:fill="auto"/>
            <w:vAlign w:val="center"/>
          </w:tcPr>
          <w:p w14:paraId="68A39FC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AAAB0">
            <w:pPr>
              <w:keepNext w:val="0"/>
              <w:keepLines w:val="0"/>
              <w:widowControl/>
              <w:suppressLineNumbers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对项目需求的理解：准确理解股权收购项目需求，对项目背景、收购目标、潜在风险、交易结构等阐述清晰、全面得6 分，理解有偏差酌情扣 1 - 2 分。</w:t>
            </w:r>
          </w:p>
        </w:tc>
      </w:tr>
      <w:tr w14:paraId="06F74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5" w:hRule="atLeast"/>
          <w:jc w:val="center"/>
        </w:trPr>
        <w:tc>
          <w:tcPr>
            <w:tcW w:w="658" w:type="dxa"/>
            <w:vMerge w:val="continue"/>
            <w:tcBorders>
              <w:left w:val="single" w:color="000000" w:sz="4" w:space="0"/>
              <w:right w:val="single" w:color="000000" w:sz="4" w:space="0"/>
            </w:tcBorders>
            <w:shd w:val="clear" w:color="auto" w:fill="auto"/>
            <w:noWrap/>
            <w:vAlign w:val="center"/>
          </w:tcPr>
          <w:p w14:paraId="31872E02">
            <w:pPr>
              <w:jc w:val="center"/>
              <w:rPr>
                <w:rFonts w:hint="eastAsia" w:ascii="仿宋_GB2312" w:hAnsi="宋体" w:eastAsia="仿宋_GB2312" w:cs="仿宋_GB2312"/>
                <w:i w:val="0"/>
                <w:iCs w:val="0"/>
                <w:color w:val="000000"/>
                <w:sz w:val="22"/>
                <w:szCs w:val="22"/>
                <w:u w:val="none"/>
              </w:rPr>
            </w:pPr>
          </w:p>
        </w:tc>
        <w:tc>
          <w:tcPr>
            <w:tcW w:w="1168" w:type="dxa"/>
            <w:vMerge w:val="continue"/>
            <w:tcBorders>
              <w:left w:val="single" w:color="000000" w:sz="4" w:space="0"/>
              <w:right w:val="single" w:color="000000" w:sz="4" w:space="0"/>
            </w:tcBorders>
            <w:shd w:val="clear" w:color="auto" w:fill="auto"/>
            <w:vAlign w:val="center"/>
          </w:tcPr>
          <w:p w14:paraId="2845C7C3">
            <w:pPr>
              <w:jc w:val="center"/>
              <w:rPr>
                <w:rFonts w:hint="eastAsia" w:ascii="仿宋_GB2312" w:hAnsi="宋体" w:eastAsia="仿宋_GB2312" w:cs="仿宋_GB2312"/>
                <w:i w:val="0"/>
                <w:iCs w:val="0"/>
                <w:color w:val="000000"/>
                <w:sz w:val="21"/>
                <w:szCs w:val="21"/>
                <w:u w:val="none"/>
              </w:rPr>
            </w:pPr>
          </w:p>
        </w:tc>
        <w:tc>
          <w:tcPr>
            <w:tcW w:w="1275" w:type="dxa"/>
            <w:vMerge w:val="continue"/>
            <w:tcBorders>
              <w:left w:val="single" w:color="000000" w:sz="4" w:space="0"/>
              <w:right w:val="single" w:color="000000" w:sz="4" w:space="0"/>
            </w:tcBorders>
            <w:shd w:val="clear" w:color="auto" w:fill="auto"/>
            <w:vAlign w:val="center"/>
          </w:tcPr>
          <w:p w14:paraId="50BA66C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p>
        </w:tc>
        <w:tc>
          <w:tcPr>
            <w:tcW w:w="559" w:type="dxa"/>
            <w:tcBorders>
              <w:top w:val="single" w:color="000000" w:sz="4" w:space="0"/>
              <w:left w:val="single" w:color="000000" w:sz="4" w:space="0"/>
              <w:bottom w:val="nil"/>
              <w:right w:val="single" w:color="000000" w:sz="4" w:space="0"/>
            </w:tcBorders>
            <w:shd w:val="clear" w:color="auto" w:fill="auto"/>
            <w:vAlign w:val="center"/>
          </w:tcPr>
          <w:p w14:paraId="457C179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1FAF">
            <w:pPr>
              <w:keepNext w:val="0"/>
              <w:keepLines w:val="0"/>
              <w:widowControl/>
              <w:suppressLineNumbers w:val="0"/>
              <w:jc w:val="both"/>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咨询服务内容完整性：服务内容应全面涵盖股权收购项目投资必要性分析、可行性研究、行业现状与趋势分析、财务效益评估、风险识别与应对策略、交易方案设计（如有需要）等本项目所需的全部核心咨询服务得 6 分，每缺少一项核心服务内容扣 2 分。</w:t>
            </w:r>
          </w:p>
        </w:tc>
      </w:tr>
      <w:tr w14:paraId="02BF4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5" w:hRule="atLeast"/>
          <w:jc w:val="center"/>
        </w:trPr>
        <w:tc>
          <w:tcPr>
            <w:tcW w:w="658" w:type="dxa"/>
            <w:vMerge w:val="continue"/>
            <w:tcBorders>
              <w:left w:val="single" w:color="000000" w:sz="4" w:space="0"/>
              <w:right w:val="single" w:color="000000" w:sz="4" w:space="0"/>
            </w:tcBorders>
            <w:shd w:val="clear" w:color="auto" w:fill="auto"/>
            <w:noWrap/>
            <w:vAlign w:val="center"/>
          </w:tcPr>
          <w:p w14:paraId="1E33A55C">
            <w:pPr>
              <w:jc w:val="center"/>
              <w:rPr>
                <w:rFonts w:hint="eastAsia" w:ascii="仿宋_GB2312" w:hAnsi="宋体" w:eastAsia="仿宋_GB2312" w:cs="仿宋_GB2312"/>
                <w:i w:val="0"/>
                <w:iCs w:val="0"/>
                <w:color w:val="000000"/>
                <w:sz w:val="22"/>
                <w:szCs w:val="22"/>
                <w:u w:val="none"/>
              </w:rPr>
            </w:pPr>
          </w:p>
        </w:tc>
        <w:tc>
          <w:tcPr>
            <w:tcW w:w="1168" w:type="dxa"/>
            <w:vMerge w:val="continue"/>
            <w:tcBorders>
              <w:left w:val="single" w:color="000000" w:sz="4" w:space="0"/>
              <w:right w:val="single" w:color="000000" w:sz="4" w:space="0"/>
            </w:tcBorders>
            <w:shd w:val="clear" w:color="auto" w:fill="auto"/>
            <w:vAlign w:val="center"/>
          </w:tcPr>
          <w:p w14:paraId="2621C675">
            <w:pPr>
              <w:jc w:val="center"/>
              <w:rPr>
                <w:rFonts w:hint="eastAsia" w:ascii="仿宋_GB2312" w:hAnsi="宋体" w:eastAsia="仿宋_GB2312" w:cs="仿宋_GB2312"/>
                <w:i w:val="0"/>
                <w:iCs w:val="0"/>
                <w:color w:val="000000"/>
                <w:sz w:val="21"/>
                <w:szCs w:val="21"/>
                <w:u w:val="none"/>
              </w:rPr>
            </w:pPr>
          </w:p>
        </w:tc>
        <w:tc>
          <w:tcPr>
            <w:tcW w:w="1275" w:type="dxa"/>
            <w:vMerge w:val="continue"/>
            <w:tcBorders>
              <w:left w:val="single" w:color="000000" w:sz="4" w:space="0"/>
              <w:right w:val="single" w:color="000000" w:sz="4" w:space="0"/>
            </w:tcBorders>
            <w:shd w:val="clear" w:color="auto" w:fill="auto"/>
            <w:vAlign w:val="center"/>
          </w:tcPr>
          <w:p w14:paraId="691DF36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p>
        </w:tc>
        <w:tc>
          <w:tcPr>
            <w:tcW w:w="559" w:type="dxa"/>
            <w:tcBorders>
              <w:top w:val="single" w:color="000000" w:sz="4" w:space="0"/>
              <w:left w:val="single" w:color="000000" w:sz="4" w:space="0"/>
              <w:bottom w:val="nil"/>
              <w:right w:val="single" w:color="000000" w:sz="4" w:space="0"/>
            </w:tcBorders>
            <w:shd w:val="clear" w:color="auto" w:fill="auto"/>
            <w:vAlign w:val="center"/>
          </w:tcPr>
          <w:p w14:paraId="77E546D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AE0F8">
            <w:pPr>
              <w:keepNext w:val="0"/>
              <w:keepLines w:val="0"/>
              <w:widowControl/>
              <w:suppressLineNumbers w:val="0"/>
              <w:jc w:val="both"/>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服务流程合理性：制定详细、合理的服务流程，从项目启动的资料收集与调研，到中间的分析测算、报告撰写，再到最后的成果交付与后续服务，各阶段工作安排科学有序，衔接顺畅得 6分。流程存在不合理之处，如时间节点安排不合理、工作衔接不紧密等，酌情扣 1 - 3 分。</w:t>
            </w:r>
          </w:p>
        </w:tc>
      </w:tr>
      <w:tr w14:paraId="50ECC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9" w:hRule="atLeast"/>
          <w:jc w:val="center"/>
        </w:trPr>
        <w:tc>
          <w:tcPr>
            <w:tcW w:w="658" w:type="dxa"/>
            <w:vMerge w:val="continue"/>
            <w:tcBorders>
              <w:left w:val="single" w:color="000000" w:sz="4" w:space="0"/>
              <w:bottom w:val="nil"/>
              <w:right w:val="single" w:color="000000" w:sz="4" w:space="0"/>
            </w:tcBorders>
            <w:shd w:val="clear" w:color="auto" w:fill="auto"/>
            <w:noWrap/>
            <w:vAlign w:val="center"/>
          </w:tcPr>
          <w:p w14:paraId="625644A7">
            <w:pPr>
              <w:jc w:val="center"/>
              <w:rPr>
                <w:rFonts w:hint="eastAsia" w:ascii="仿宋_GB2312" w:hAnsi="宋体" w:eastAsia="仿宋_GB2312" w:cs="仿宋_GB2312"/>
                <w:i w:val="0"/>
                <w:iCs w:val="0"/>
                <w:color w:val="000000"/>
                <w:sz w:val="22"/>
                <w:szCs w:val="22"/>
                <w:u w:val="none"/>
              </w:rPr>
            </w:pPr>
          </w:p>
        </w:tc>
        <w:tc>
          <w:tcPr>
            <w:tcW w:w="1168" w:type="dxa"/>
            <w:vMerge w:val="continue"/>
            <w:tcBorders>
              <w:left w:val="single" w:color="000000" w:sz="4" w:space="0"/>
              <w:bottom w:val="nil"/>
              <w:right w:val="single" w:color="000000" w:sz="4" w:space="0"/>
            </w:tcBorders>
            <w:shd w:val="clear" w:color="auto" w:fill="auto"/>
            <w:vAlign w:val="center"/>
          </w:tcPr>
          <w:p w14:paraId="5D3C07C7">
            <w:pPr>
              <w:jc w:val="center"/>
              <w:rPr>
                <w:rFonts w:hint="eastAsia" w:ascii="仿宋_GB2312" w:hAnsi="宋体" w:eastAsia="仿宋_GB2312" w:cs="仿宋_GB2312"/>
                <w:i w:val="0"/>
                <w:iCs w:val="0"/>
                <w:color w:val="000000"/>
                <w:sz w:val="21"/>
                <w:szCs w:val="21"/>
                <w:u w:val="none"/>
              </w:rPr>
            </w:pPr>
          </w:p>
        </w:tc>
        <w:tc>
          <w:tcPr>
            <w:tcW w:w="1275" w:type="dxa"/>
            <w:vMerge w:val="continue"/>
            <w:tcBorders>
              <w:left w:val="single" w:color="000000" w:sz="4" w:space="0"/>
              <w:bottom w:val="nil"/>
              <w:right w:val="single" w:color="000000" w:sz="4" w:space="0"/>
            </w:tcBorders>
            <w:shd w:val="clear" w:color="auto" w:fill="auto"/>
            <w:vAlign w:val="center"/>
          </w:tcPr>
          <w:p w14:paraId="5929B9F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p>
        </w:tc>
        <w:tc>
          <w:tcPr>
            <w:tcW w:w="559" w:type="dxa"/>
            <w:tcBorders>
              <w:top w:val="single" w:color="000000" w:sz="4" w:space="0"/>
              <w:left w:val="single" w:color="000000" w:sz="4" w:space="0"/>
              <w:bottom w:val="nil"/>
              <w:right w:val="single" w:color="000000" w:sz="4" w:space="0"/>
            </w:tcBorders>
            <w:shd w:val="clear" w:color="auto" w:fill="auto"/>
            <w:vAlign w:val="center"/>
          </w:tcPr>
          <w:p w14:paraId="673B848C">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500EE">
            <w:pPr>
              <w:keepNext w:val="0"/>
              <w:keepLines w:val="0"/>
              <w:widowControl/>
              <w:suppressLineNumbers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质量保证措施：提出切实可行的质量保证措施，包括建立严格的质量控制标准，如报告数据准确性要求、分析逻辑严谨性标准等；完善的审核机制，如内部多级审核、专家外部审核等得 6 分。措施不完善，如质量标准模糊、审核流程简单等，酌情扣 1 - 3 分。</w:t>
            </w:r>
          </w:p>
        </w:tc>
      </w:tr>
      <w:tr w14:paraId="7415B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41933">
            <w:pPr>
              <w:jc w:val="center"/>
              <w:rPr>
                <w:rFonts w:hint="eastAsia" w:ascii="仿宋_GB2312" w:hAnsi="宋体" w:eastAsia="仿宋_GB2312" w:cs="仿宋_GB2312"/>
                <w:i w:val="0"/>
                <w:iCs w:val="0"/>
                <w:color w:val="000000"/>
                <w:sz w:val="22"/>
                <w:szCs w:val="22"/>
                <w:u w:val="none"/>
              </w:rPr>
            </w:pP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BCDC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总分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04C86">
            <w:pPr>
              <w:jc w:val="center"/>
              <w:rPr>
                <w:rFonts w:hint="eastAsia" w:ascii="仿宋_GB2312" w:hAnsi="宋体" w:eastAsia="仿宋_GB2312" w:cs="仿宋_GB2312"/>
                <w:i w:val="0"/>
                <w:iCs w:val="0"/>
                <w:color w:val="000000"/>
                <w:sz w:val="21"/>
                <w:szCs w:val="21"/>
                <w:u w:val="none"/>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6BD8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100</w:t>
            </w:r>
          </w:p>
        </w:tc>
        <w:tc>
          <w:tcPr>
            <w:tcW w:w="4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2721E">
            <w:pPr>
              <w:jc w:val="left"/>
              <w:rPr>
                <w:rFonts w:hint="eastAsia" w:ascii="仿宋_GB2312" w:hAnsi="宋体" w:eastAsia="仿宋_GB2312" w:cs="仿宋_GB2312"/>
                <w:i w:val="0"/>
                <w:iCs w:val="0"/>
                <w:color w:val="000000"/>
                <w:sz w:val="21"/>
                <w:szCs w:val="21"/>
                <w:u w:val="none"/>
              </w:rPr>
            </w:pPr>
          </w:p>
        </w:tc>
      </w:tr>
    </w:tbl>
    <w:p w14:paraId="77B54A2E">
      <w:pPr>
        <w:rPr>
          <w:rFonts w:hint="eastAsia"/>
        </w:rPr>
        <w:sectPr>
          <w:headerReference r:id="rId8" w:type="default"/>
          <w:pgSz w:w="11906" w:h="16838"/>
          <w:pgMar w:top="1531" w:right="1418" w:bottom="1361" w:left="1418" w:header="851" w:footer="992" w:gutter="0"/>
          <w:pgNumType w:fmt="decimal"/>
          <w:cols w:space="720" w:num="1"/>
          <w:docGrid w:type="lines" w:linePitch="312" w:charSpace="0"/>
        </w:sectPr>
      </w:pPr>
    </w:p>
    <w:p w14:paraId="2FEFA872">
      <w:pPr>
        <w:widowControl w:val="0"/>
        <w:shd w:val="clear"/>
        <w:spacing w:line="360" w:lineRule="auto"/>
        <w:ind w:firstLine="1687" w:firstLineChars="600"/>
        <w:jc w:val="both"/>
        <w:rPr>
          <w:rFonts w:ascii="宋体" w:hAnsi="宋体" w:eastAsia="宋体" w:cs="宋体"/>
          <w:b/>
          <w:color w:val="auto"/>
          <w:sz w:val="28"/>
          <w:szCs w:val="28"/>
          <w:highlight w:val="none"/>
        </w:rPr>
      </w:pPr>
      <w:bookmarkStart w:id="67" w:name="_Toc406670730"/>
      <w:bookmarkStart w:id="68" w:name="_Toc406671689"/>
      <w:bookmarkStart w:id="69" w:name="_Toc406671101"/>
      <w:bookmarkStart w:id="70" w:name="_Toc95128210"/>
      <w:bookmarkStart w:id="71" w:name="_Toc406672392"/>
      <w:r>
        <w:rPr>
          <w:rFonts w:hint="eastAsia" w:ascii="宋体" w:hAnsi="宋体" w:eastAsia="宋体" w:cs="宋体"/>
          <w:b/>
          <w:color w:val="auto"/>
          <w:sz w:val="28"/>
          <w:szCs w:val="28"/>
          <w:highlight w:val="none"/>
        </w:rPr>
        <w:t>第三节  废标条款（针对整个项目）</w:t>
      </w:r>
      <w:bookmarkEnd w:id="67"/>
      <w:bookmarkEnd w:id="68"/>
      <w:bookmarkEnd w:id="69"/>
      <w:bookmarkEnd w:id="70"/>
      <w:bookmarkEnd w:id="71"/>
    </w:p>
    <w:p w14:paraId="796A6DF3">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出现下列情形之一的，本项目作废标处理,项目评审终止：</w:t>
      </w:r>
    </w:p>
    <w:p w14:paraId="136EF636">
      <w:pPr>
        <w:widowControl w:val="0"/>
        <w:shd w:val="clear"/>
        <w:spacing w:line="360" w:lineRule="auto"/>
        <w:ind w:left="319" w:leftChars="133" w:firstLine="240" w:firstLineChars="100"/>
        <w:rPr>
          <w:rFonts w:hint="eastAsia" w:ascii="宋体" w:hAnsi="宋体" w:cs="宋体"/>
          <w:color w:val="auto"/>
          <w:highlight w:val="none"/>
        </w:rPr>
      </w:pPr>
      <w:r>
        <w:rPr>
          <w:rFonts w:hint="eastAsia" w:ascii="宋体" w:hAnsi="宋体" w:cs="宋体"/>
          <w:color w:val="auto"/>
          <w:highlight w:val="none"/>
        </w:rPr>
        <w:t>1.符合专业条件的或对比选文件作实质响应的有效参选人不足</w:t>
      </w:r>
      <w:r>
        <w:rPr>
          <w:rFonts w:hint="eastAsia" w:ascii="宋体" w:hAnsi="宋体" w:cs="宋体"/>
          <w:color w:val="auto"/>
          <w:highlight w:val="none"/>
          <w:lang w:val="en-US" w:eastAsia="zh-CN"/>
        </w:rPr>
        <w:t>两</w:t>
      </w:r>
      <w:r>
        <w:rPr>
          <w:rFonts w:hint="eastAsia" w:ascii="宋体" w:hAnsi="宋体" w:cs="宋体"/>
          <w:color w:val="auto"/>
          <w:highlight w:val="none"/>
        </w:rPr>
        <w:t>家的；</w:t>
      </w:r>
    </w:p>
    <w:p w14:paraId="24F84C5C">
      <w:pPr>
        <w:widowControl w:val="0"/>
        <w:shd w:val="clear"/>
        <w:spacing w:line="360" w:lineRule="auto"/>
        <w:ind w:left="319" w:leftChars="133" w:firstLine="240" w:firstLineChars="100"/>
        <w:rPr>
          <w:rFonts w:hint="eastAsia" w:ascii="宋体" w:hAnsi="宋体" w:cs="宋体"/>
          <w:color w:val="auto"/>
          <w:highlight w:val="none"/>
        </w:rPr>
      </w:pPr>
      <w:r>
        <w:rPr>
          <w:rFonts w:hint="eastAsia" w:ascii="宋体" w:hAnsi="宋体" w:cs="宋体"/>
          <w:color w:val="auto"/>
          <w:highlight w:val="none"/>
        </w:rPr>
        <w:t>2.出现影响比选公正的违法、违规行为的；</w:t>
      </w:r>
    </w:p>
    <w:p w14:paraId="17B5C302">
      <w:pPr>
        <w:widowControl w:val="0"/>
        <w:shd w:val="clear"/>
        <w:spacing w:line="360" w:lineRule="auto"/>
        <w:ind w:left="319" w:leftChars="133" w:firstLine="240" w:firstLineChars="100"/>
        <w:rPr>
          <w:rFonts w:hint="eastAsia" w:ascii="宋体" w:hAnsi="宋体" w:cs="宋体"/>
          <w:color w:val="auto"/>
          <w:highlight w:val="none"/>
        </w:rPr>
      </w:pPr>
      <w:r>
        <w:rPr>
          <w:rFonts w:hint="eastAsia" w:ascii="宋体" w:hAnsi="宋体" w:cs="宋体"/>
          <w:color w:val="auto"/>
          <w:highlight w:val="none"/>
        </w:rPr>
        <w:t>3.因重大变故，比选任务取消的；</w:t>
      </w:r>
    </w:p>
    <w:p w14:paraId="37B61904">
      <w:pPr>
        <w:widowControl w:val="0"/>
        <w:shd w:val="clear"/>
        <w:spacing w:line="360" w:lineRule="auto"/>
        <w:ind w:left="319" w:leftChars="133" w:firstLine="240" w:firstLineChars="100"/>
        <w:rPr>
          <w:rFonts w:hint="default" w:ascii="宋体" w:hAnsi="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cs="宋体"/>
          <w:color w:val="auto"/>
          <w:highlight w:val="none"/>
          <w:lang w:eastAsia="zh-CN"/>
        </w:rPr>
        <w:t>比选</w:t>
      </w:r>
      <w:r>
        <w:rPr>
          <w:rFonts w:hint="eastAsia" w:ascii="宋体" w:hAnsi="宋体" w:cs="宋体"/>
          <w:color w:val="auto"/>
          <w:highlight w:val="none"/>
        </w:rPr>
        <w:t>报价超过比选文件</w:t>
      </w:r>
      <w:r>
        <w:rPr>
          <w:rFonts w:hint="eastAsia" w:ascii="宋体" w:hAnsi="宋体" w:eastAsia="宋体" w:cs="宋体"/>
          <w:color w:val="auto"/>
          <w:highlight w:val="none"/>
        </w:rPr>
        <w:t>的</w:t>
      </w:r>
      <w:r>
        <w:rPr>
          <w:rFonts w:hint="eastAsia" w:ascii="宋体" w:hAnsi="宋体" w:cs="宋体"/>
          <w:color w:val="auto"/>
          <w:highlight w:val="none"/>
          <w:lang w:val="en-US" w:eastAsia="zh-CN"/>
        </w:rPr>
        <w:t>采购预算的</w:t>
      </w:r>
      <w:r>
        <w:rPr>
          <w:rFonts w:hint="eastAsia" w:ascii="宋体" w:hAnsi="宋体" w:eastAsia="宋体" w:cs="宋体"/>
          <w:color w:val="auto"/>
          <w:highlight w:val="none"/>
        </w:rPr>
        <w:t>；</w:t>
      </w:r>
    </w:p>
    <w:p w14:paraId="5FF75D34">
      <w:pPr>
        <w:widowControl w:val="0"/>
        <w:shd w:val="clear"/>
        <w:spacing w:line="360" w:lineRule="auto"/>
        <w:ind w:left="319" w:leftChars="133" w:firstLine="240" w:firstLineChars="100"/>
        <w:rPr>
          <w:rFonts w:ascii="宋体" w:hAnsi="宋体" w:eastAsia="宋体" w:cs="宋体"/>
          <w:b/>
          <w:color w:val="auto"/>
          <w:sz w:val="28"/>
          <w:szCs w:val="28"/>
          <w:highlight w:val="none"/>
        </w:rPr>
      </w:pPr>
      <w:r>
        <w:rPr>
          <w:rFonts w:hint="eastAsia" w:ascii="宋体" w:hAnsi="宋体" w:cs="宋体"/>
          <w:color w:val="auto"/>
          <w:highlight w:val="none"/>
          <w:lang w:val="en-US" w:eastAsia="zh-CN"/>
        </w:rPr>
        <w:t>5</w:t>
      </w:r>
      <w:r>
        <w:rPr>
          <w:rFonts w:hint="eastAsia" w:ascii="宋体" w:hAnsi="宋体" w:cs="宋体"/>
          <w:color w:val="auto"/>
          <w:highlight w:val="none"/>
        </w:rPr>
        <w:t>.法律法规规定的其他情形。</w:t>
      </w:r>
      <w:bookmarkStart w:id="72" w:name="_Toc406670731"/>
      <w:bookmarkStart w:id="73" w:name="_Toc406671102"/>
      <w:bookmarkStart w:id="74" w:name="_Toc406671690"/>
      <w:bookmarkStart w:id="75" w:name="_Toc406672393"/>
    </w:p>
    <w:p w14:paraId="38B8474B">
      <w:pPr>
        <w:pStyle w:val="4"/>
        <w:widowControl w:val="0"/>
        <w:shd w:val="clear"/>
        <w:spacing w:line="360" w:lineRule="auto"/>
        <w:rPr>
          <w:rFonts w:ascii="宋体" w:hAnsi="宋体" w:eastAsia="宋体" w:cs="宋体"/>
          <w:b/>
          <w:color w:val="auto"/>
          <w:szCs w:val="24"/>
          <w:highlight w:val="none"/>
        </w:rPr>
      </w:pPr>
      <w:bookmarkStart w:id="76" w:name="_Toc95128211"/>
      <w:bookmarkStart w:id="77" w:name="_Toc17743"/>
      <w:bookmarkStart w:id="78" w:name="_Toc15858"/>
      <w:r>
        <w:rPr>
          <w:rFonts w:hint="eastAsia" w:ascii="宋体" w:hAnsi="宋体" w:eastAsia="宋体" w:cs="宋体"/>
          <w:b/>
          <w:color w:val="auto"/>
          <w:sz w:val="28"/>
          <w:szCs w:val="28"/>
          <w:highlight w:val="none"/>
        </w:rPr>
        <w:t>第四节  无效标条款（针对单个比选参与人）</w:t>
      </w:r>
      <w:bookmarkEnd w:id="72"/>
      <w:bookmarkEnd w:id="73"/>
      <w:bookmarkEnd w:id="74"/>
      <w:bookmarkEnd w:id="75"/>
      <w:bookmarkEnd w:id="76"/>
      <w:bookmarkEnd w:id="77"/>
      <w:bookmarkEnd w:id="78"/>
    </w:p>
    <w:p w14:paraId="62235A0A">
      <w:pPr>
        <w:widowControl w:val="0"/>
        <w:shd w:val="clear"/>
        <w:spacing w:line="360" w:lineRule="auto"/>
        <w:ind w:firstLine="480" w:firstLineChars="200"/>
        <w:rPr>
          <w:rFonts w:ascii="宋体" w:hAnsi="宋体" w:cs="宋体"/>
          <w:color w:val="auto"/>
          <w:highlight w:val="none"/>
        </w:rPr>
      </w:pPr>
      <w:bookmarkStart w:id="79" w:name="_Toc406671103"/>
      <w:bookmarkStart w:id="80" w:name="_Toc406672394"/>
      <w:bookmarkStart w:id="81" w:name="_Toc406670732"/>
      <w:bookmarkStart w:id="82" w:name="_Toc406671691"/>
      <w:r>
        <w:rPr>
          <w:rFonts w:hint="eastAsia" w:ascii="宋体" w:hAnsi="宋体" w:cs="宋体"/>
          <w:color w:val="auto"/>
          <w:highlight w:val="none"/>
        </w:rPr>
        <w:t xml:space="preserve">出现下列情形之一的，参选人递交的响应文件作无效标处理，该参选人的响应文件不参与评审，且不计算入参选人家数： </w:t>
      </w:r>
    </w:p>
    <w:p w14:paraId="6E703BA5">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1.递交的响应文件不完整或未按比选文件要求加盖公章及签字的；</w:t>
      </w:r>
    </w:p>
    <w:p w14:paraId="53BE7410">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2.参选人不符合国家及比选文件规定的资格条件的；</w:t>
      </w:r>
    </w:p>
    <w:p w14:paraId="0E768A99">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3.项目接受联合体</w:t>
      </w:r>
      <w:r>
        <w:rPr>
          <w:rFonts w:hint="eastAsia" w:ascii="宋体" w:hAnsi="宋体" w:cs="宋体"/>
          <w:color w:val="auto"/>
          <w:highlight w:val="none"/>
          <w:lang w:eastAsia="zh-CN"/>
        </w:rPr>
        <w:t>比选</w:t>
      </w:r>
      <w:r>
        <w:rPr>
          <w:rFonts w:hint="eastAsia" w:ascii="宋体" w:hAnsi="宋体" w:cs="宋体"/>
          <w:color w:val="auto"/>
          <w:highlight w:val="none"/>
        </w:rPr>
        <w:t>时，</w:t>
      </w:r>
      <w:r>
        <w:rPr>
          <w:rFonts w:hint="eastAsia" w:ascii="宋体" w:hAnsi="宋体" w:cs="宋体"/>
          <w:color w:val="auto"/>
          <w:highlight w:val="none"/>
          <w:lang w:eastAsia="zh-CN"/>
        </w:rPr>
        <w:t>比选</w:t>
      </w:r>
      <w:r>
        <w:rPr>
          <w:rFonts w:hint="eastAsia" w:ascii="宋体" w:hAnsi="宋体" w:cs="宋体"/>
          <w:color w:val="auto"/>
          <w:highlight w:val="none"/>
        </w:rPr>
        <w:t>联合体未提交联合</w:t>
      </w:r>
      <w:r>
        <w:rPr>
          <w:rFonts w:hint="eastAsia" w:ascii="宋体" w:hAnsi="宋体" w:cs="宋体"/>
          <w:color w:val="auto"/>
          <w:highlight w:val="none"/>
          <w:lang w:eastAsia="zh-CN"/>
        </w:rPr>
        <w:t>比选</w:t>
      </w:r>
      <w:r>
        <w:rPr>
          <w:rFonts w:hint="eastAsia" w:ascii="宋体" w:hAnsi="宋体" w:cs="宋体"/>
          <w:color w:val="auto"/>
          <w:highlight w:val="none"/>
        </w:rPr>
        <w:t>协议的；</w:t>
      </w:r>
    </w:p>
    <w:p w14:paraId="0B97E059">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4.响应文件对比选文件的实质性要求和条件未作出响应的；</w:t>
      </w:r>
    </w:p>
    <w:p w14:paraId="02A362D4">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5.参选人有串通</w:t>
      </w:r>
      <w:r>
        <w:rPr>
          <w:rFonts w:hint="eastAsia" w:ascii="宋体" w:hAnsi="宋体" w:cs="宋体"/>
          <w:color w:val="auto"/>
          <w:highlight w:val="none"/>
          <w:lang w:eastAsia="zh-CN"/>
        </w:rPr>
        <w:t>比选</w:t>
      </w:r>
      <w:r>
        <w:rPr>
          <w:rFonts w:hint="eastAsia" w:ascii="宋体" w:hAnsi="宋体" w:cs="宋体"/>
          <w:color w:val="auto"/>
          <w:highlight w:val="none"/>
        </w:rPr>
        <w:t>、弄虚作假、行贿等违法行为的；</w:t>
      </w:r>
    </w:p>
    <w:p w14:paraId="0A14EAE4">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6.有下列情形之一的，视为参选人串通</w:t>
      </w:r>
      <w:r>
        <w:rPr>
          <w:rFonts w:hint="eastAsia" w:ascii="宋体" w:hAnsi="宋体" w:cs="宋体"/>
          <w:color w:val="auto"/>
          <w:highlight w:val="none"/>
          <w:lang w:eastAsia="zh-CN"/>
        </w:rPr>
        <w:t>比选</w:t>
      </w:r>
      <w:r>
        <w:rPr>
          <w:rFonts w:hint="eastAsia" w:ascii="宋体" w:hAnsi="宋体" w:cs="宋体"/>
          <w:color w:val="auto"/>
          <w:highlight w:val="none"/>
        </w:rPr>
        <w:t>，其</w:t>
      </w:r>
      <w:r>
        <w:rPr>
          <w:rFonts w:hint="eastAsia" w:ascii="宋体" w:hAnsi="宋体" w:cs="宋体"/>
          <w:color w:val="auto"/>
          <w:highlight w:val="none"/>
          <w:lang w:eastAsia="zh-CN"/>
        </w:rPr>
        <w:t>比选</w:t>
      </w:r>
      <w:r>
        <w:rPr>
          <w:rFonts w:hint="eastAsia" w:ascii="宋体" w:hAnsi="宋体" w:cs="宋体"/>
          <w:color w:val="auto"/>
          <w:highlight w:val="none"/>
        </w:rPr>
        <w:t>无效：</w:t>
      </w:r>
    </w:p>
    <w:p w14:paraId="14CFD2E5">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①不同参选人的响应文件由同一单位或者个人编制；</w:t>
      </w:r>
    </w:p>
    <w:p w14:paraId="320B8194">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②不同参选人委托同一单位或者个人办理</w:t>
      </w:r>
      <w:r>
        <w:rPr>
          <w:rFonts w:hint="eastAsia" w:ascii="宋体" w:hAnsi="宋体" w:cs="宋体"/>
          <w:color w:val="auto"/>
          <w:highlight w:val="none"/>
          <w:lang w:eastAsia="zh-CN"/>
        </w:rPr>
        <w:t>比选</w:t>
      </w:r>
      <w:r>
        <w:rPr>
          <w:rFonts w:hint="eastAsia" w:ascii="宋体" w:hAnsi="宋体" w:cs="宋体"/>
          <w:color w:val="auto"/>
          <w:highlight w:val="none"/>
        </w:rPr>
        <w:t>事宜；</w:t>
      </w:r>
    </w:p>
    <w:p w14:paraId="2184C1B9">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③不同参选人的响应文件载明的项目管理成员或者联系人员为同一人；</w:t>
      </w:r>
    </w:p>
    <w:p w14:paraId="2D1E9765">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④不同竞选人的</w:t>
      </w:r>
      <w:r>
        <w:rPr>
          <w:rFonts w:hint="eastAsia" w:ascii="宋体" w:hAnsi="宋体" w:cs="宋体"/>
          <w:color w:val="auto"/>
          <w:highlight w:val="none"/>
          <w:lang w:eastAsia="zh-CN"/>
        </w:rPr>
        <w:t>比选</w:t>
      </w:r>
      <w:r>
        <w:rPr>
          <w:rFonts w:hint="eastAsia" w:ascii="宋体" w:hAnsi="宋体" w:cs="宋体"/>
          <w:color w:val="auto"/>
          <w:highlight w:val="none"/>
        </w:rPr>
        <w:t>文件异常一致或者</w:t>
      </w:r>
      <w:r>
        <w:rPr>
          <w:rFonts w:hint="eastAsia" w:ascii="宋体" w:hAnsi="宋体" w:cs="宋体"/>
          <w:color w:val="auto"/>
          <w:highlight w:val="none"/>
          <w:lang w:eastAsia="zh-CN"/>
        </w:rPr>
        <w:t>比选</w:t>
      </w:r>
      <w:r>
        <w:rPr>
          <w:rFonts w:hint="eastAsia" w:ascii="宋体" w:hAnsi="宋体" w:cs="宋体"/>
          <w:color w:val="auto"/>
          <w:highlight w:val="none"/>
        </w:rPr>
        <w:t>报价呈规律性差异；</w:t>
      </w:r>
    </w:p>
    <w:p w14:paraId="5F3B8F70">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⑤不同参选人的响应文件相互混装；</w:t>
      </w:r>
    </w:p>
    <w:p w14:paraId="670C2AC1">
      <w:pPr>
        <w:widowControl w:val="0"/>
        <w:numPr>
          <w:ilvl w:val="-1"/>
          <w:numId w:val="0"/>
        </w:numPr>
        <w:shd w:val="clear"/>
        <w:spacing w:line="360" w:lineRule="auto"/>
        <w:ind w:left="0" w:leftChars="0" w:firstLine="480" w:firstLineChars="200"/>
        <w:rPr>
          <w:rFonts w:ascii="宋体" w:hAnsi="宋体" w:cs="宋体"/>
          <w:color w:val="auto"/>
          <w:highlight w:val="none"/>
        </w:rPr>
      </w:pPr>
      <w:r>
        <w:rPr>
          <w:rFonts w:hint="eastAsia" w:ascii="宋体" w:hAnsi="宋体" w:cs="宋体"/>
          <w:color w:val="auto"/>
          <w:highlight w:val="none"/>
          <w:lang w:val="en-US" w:eastAsia="zh-CN"/>
        </w:rPr>
        <w:t>7.</w:t>
      </w:r>
      <w:r>
        <w:rPr>
          <w:rFonts w:hint="eastAsia" w:ascii="宋体" w:hAnsi="宋体" w:cs="宋体"/>
          <w:color w:val="auto"/>
          <w:highlight w:val="none"/>
        </w:rPr>
        <w:t>响应文件未胶装成册的（采用打孔装订、活页夹等方式装订的响应文件作为无效</w:t>
      </w:r>
      <w:r>
        <w:rPr>
          <w:rFonts w:hint="eastAsia" w:ascii="宋体" w:hAnsi="宋体" w:cs="宋体"/>
          <w:color w:val="auto"/>
          <w:highlight w:val="none"/>
          <w:lang w:eastAsia="zh-CN"/>
        </w:rPr>
        <w:t>比选</w:t>
      </w:r>
      <w:r>
        <w:rPr>
          <w:rFonts w:hint="eastAsia" w:ascii="宋体" w:hAnsi="宋体" w:cs="宋体"/>
          <w:color w:val="auto"/>
          <w:highlight w:val="none"/>
        </w:rPr>
        <w:t>处理）；</w:t>
      </w:r>
    </w:p>
    <w:p w14:paraId="42FB07D0">
      <w:pPr>
        <w:widowControl w:val="0"/>
        <w:numPr>
          <w:ilvl w:val="-1"/>
          <w:numId w:val="0"/>
        </w:numPr>
        <w:shd w:val="clear"/>
        <w:spacing w:line="360" w:lineRule="auto"/>
        <w:ind w:left="0" w:leftChars="0" w:firstLine="480" w:firstLineChars="200"/>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比选有效期不满足比选文件要求的；</w:t>
      </w:r>
    </w:p>
    <w:p w14:paraId="08D8CFB7">
      <w:pPr>
        <w:widowControl w:val="0"/>
        <w:numPr>
          <w:ilvl w:val="-1"/>
          <w:numId w:val="0"/>
        </w:numPr>
        <w:shd w:val="clear"/>
        <w:spacing w:line="360" w:lineRule="auto"/>
        <w:ind w:left="0" w:leftChars="0" w:firstLine="480" w:firstLineChars="200"/>
        <w:rPr>
          <w:rFonts w:ascii="宋体" w:hAnsi="宋体" w:cs="宋体"/>
          <w:color w:val="auto"/>
          <w:highlight w:val="none"/>
        </w:rPr>
      </w:pPr>
      <w:r>
        <w:rPr>
          <w:rFonts w:hint="eastAsia" w:ascii="宋体" w:hAnsi="宋体" w:cs="宋体"/>
          <w:color w:val="auto"/>
          <w:highlight w:val="none"/>
          <w:lang w:val="en-US" w:eastAsia="zh-CN"/>
        </w:rPr>
        <w:t>9.</w:t>
      </w:r>
      <w:r>
        <w:rPr>
          <w:rFonts w:hint="eastAsia" w:ascii="宋体" w:hAnsi="宋体" w:cs="宋体"/>
          <w:color w:val="auto"/>
          <w:highlight w:val="none"/>
          <w:lang w:eastAsia="zh-CN"/>
        </w:rPr>
        <w:t>比选</w:t>
      </w:r>
      <w:r>
        <w:rPr>
          <w:rFonts w:hint="eastAsia" w:ascii="宋体" w:hAnsi="宋体" w:cs="宋体"/>
          <w:color w:val="auto"/>
          <w:highlight w:val="none"/>
        </w:rPr>
        <w:t>报价超过比选文件要求的最高限价；</w:t>
      </w:r>
    </w:p>
    <w:p w14:paraId="61980FFA">
      <w:pPr>
        <w:widowControl w:val="0"/>
        <w:shd w:val="clear"/>
        <w:spacing w:line="360" w:lineRule="auto"/>
        <w:ind w:left="0" w:leftChars="0" w:firstLine="480" w:firstLineChars="200"/>
        <w:rPr>
          <w:rFonts w:ascii="宋体" w:hAnsi="宋体" w:cs="宋体"/>
          <w:color w:val="auto"/>
          <w:highlight w:val="none"/>
        </w:rPr>
      </w:pPr>
      <w:r>
        <w:rPr>
          <w:rFonts w:hint="eastAsia" w:ascii="宋体" w:hAnsi="宋体" w:cs="宋体"/>
          <w:color w:val="auto"/>
          <w:highlight w:val="none"/>
        </w:rPr>
        <w:t>10.参选单位负责人为同一人或者存在直接控股、管理关系的不同参选人，不得参加同项目的比选。</w:t>
      </w:r>
    </w:p>
    <w:p w14:paraId="48434013">
      <w:pPr>
        <w:widowControl w:val="0"/>
        <w:shd w:val="clear"/>
        <w:spacing w:line="360" w:lineRule="auto"/>
        <w:ind w:left="775" w:leftChars="228" w:hanging="228" w:hangingChars="95"/>
        <w:rPr>
          <w:rFonts w:ascii="宋体" w:hAnsi="宋体" w:cs="宋体"/>
          <w:color w:val="auto"/>
          <w:highlight w:val="none"/>
        </w:rPr>
      </w:pPr>
      <w:r>
        <w:rPr>
          <w:rFonts w:hint="eastAsia" w:ascii="宋体" w:hAnsi="宋体" w:cs="宋体"/>
          <w:color w:val="auto"/>
          <w:highlight w:val="none"/>
        </w:rPr>
        <w:t>11.违反相关法律法规,足以导致响应文件无效的情形。</w:t>
      </w:r>
    </w:p>
    <w:p w14:paraId="71B6DC72">
      <w:pPr>
        <w:pStyle w:val="2"/>
        <w:widowControl w:val="0"/>
        <w:shd w:val="clear"/>
        <w:spacing w:line="360" w:lineRule="auto"/>
        <w:rPr>
          <w:rFonts w:ascii="宋体" w:hAnsi="宋体" w:eastAsia="宋体" w:cs="宋体"/>
          <w:b/>
          <w:color w:val="auto"/>
          <w:highlight w:val="none"/>
        </w:rPr>
      </w:pPr>
      <w:bookmarkStart w:id="83" w:name="_Toc18041"/>
      <w:bookmarkStart w:id="84" w:name="_Toc95128212"/>
      <w:bookmarkStart w:id="85" w:name="_Toc12727"/>
      <w:r>
        <w:rPr>
          <w:rFonts w:hint="eastAsia" w:ascii="宋体" w:hAnsi="宋体" w:eastAsia="宋体" w:cs="宋体"/>
          <w:b/>
          <w:color w:val="auto"/>
          <w:highlight w:val="none"/>
        </w:rPr>
        <w:t>第二部分  通用部分</w:t>
      </w:r>
      <w:bookmarkEnd w:id="79"/>
      <w:bookmarkEnd w:id="80"/>
      <w:bookmarkEnd w:id="81"/>
      <w:bookmarkEnd w:id="82"/>
      <w:bookmarkEnd w:id="83"/>
      <w:bookmarkEnd w:id="84"/>
      <w:bookmarkEnd w:id="85"/>
    </w:p>
    <w:p w14:paraId="1EE7080D">
      <w:pPr>
        <w:pStyle w:val="3"/>
        <w:widowControl w:val="0"/>
        <w:shd w:val="clear"/>
        <w:spacing w:line="360" w:lineRule="auto"/>
        <w:rPr>
          <w:rFonts w:ascii="宋体" w:hAnsi="宋体" w:eastAsia="宋体" w:cs="宋体"/>
          <w:b/>
          <w:color w:val="auto"/>
          <w:highlight w:val="none"/>
        </w:rPr>
      </w:pPr>
      <w:bookmarkStart w:id="86" w:name="_Toc21098"/>
      <w:bookmarkStart w:id="87" w:name="_Toc406671692"/>
      <w:bookmarkStart w:id="88" w:name="_Toc95128213"/>
      <w:bookmarkStart w:id="89" w:name="_Toc21552"/>
      <w:bookmarkStart w:id="90" w:name="_Toc406671104"/>
      <w:bookmarkStart w:id="91" w:name="_Toc406672395"/>
      <w:bookmarkStart w:id="92" w:name="_Toc406670733"/>
      <w:r>
        <w:rPr>
          <w:rFonts w:hint="eastAsia" w:ascii="宋体" w:hAnsi="宋体" w:eastAsia="宋体" w:cs="宋体"/>
          <w:b/>
          <w:color w:val="auto"/>
          <w:highlight w:val="none"/>
        </w:rPr>
        <w:t>第四章  采购程序</w:t>
      </w:r>
      <w:bookmarkEnd w:id="86"/>
      <w:bookmarkEnd w:id="87"/>
      <w:bookmarkEnd w:id="88"/>
      <w:bookmarkEnd w:id="89"/>
      <w:bookmarkEnd w:id="90"/>
      <w:bookmarkEnd w:id="91"/>
      <w:bookmarkEnd w:id="92"/>
    </w:p>
    <w:p w14:paraId="10E2D4B6">
      <w:pPr>
        <w:pStyle w:val="4"/>
        <w:widowControl w:val="0"/>
        <w:shd w:val="clear"/>
        <w:spacing w:line="360" w:lineRule="auto"/>
        <w:rPr>
          <w:rFonts w:ascii="宋体" w:hAnsi="宋体" w:eastAsia="宋体" w:cs="宋体"/>
          <w:b/>
          <w:color w:val="auto"/>
          <w:sz w:val="28"/>
          <w:szCs w:val="28"/>
          <w:highlight w:val="none"/>
        </w:rPr>
      </w:pPr>
      <w:bookmarkStart w:id="93" w:name="_Toc31166"/>
      <w:bookmarkStart w:id="94" w:name="_Toc406671693"/>
      <w:bookmarkStart w:id="95" w:name="_Toc406672396"/>
      <w:bookmarkStart w:id="96" w:name="_Toc406670734"/>
      <w:bookmarkStart w:id="97" w:name="_Toc95128214"/>
      <w:bookmarkStart w:id="98" w:name="_Toc406671105"/>
      <w:bookmarkStart w:id="99" w:name="_Toc12954"/>
      <w:r>
        <w:rPr>
          <w:rFonts w:hint="eastAsia" w:ascii="宋体" w:hAnsi="宋体" w:eastAsia="宋体" w:cs="宋体"/>
          <w:b/>
          <w:color w:val="auto"/>
          <w:sz w:val="28"/>
          <w:szCs w:val="28"/>
          <w:highlight w:val="none"/>
        </w:rPr>
        <w:t>第一节  发布采购公告</w:t>
      </w:r>
      <w:bookmarkEnd w:id="93"/>
      <w:bookmarkEnd w:id="94"/>
      <w:bookmarkEnd w:id="95"/>
      <w:bookmarkEnd w:id="96"/>
      <w:bookmarkEnd w:id="97"/>
      <w:bookmarkEnd w:id="98"/>
      <w:bookmarkEnd w:id="99"/>
    </w:p>
    <w:p w14:paraId="656328CD">
      <w:pPr>
        <w:shd w:val="clear"/>
        <w:spacing w:line="440" w:lineRule="exact"/>
        <w:ind w:firstLine="570"/>
        <w:rPr>
          <w:rFonts w:hint="eastAsia" w:ascii="宋体" w:hAnsi="宋体" w:cs="宋体"/>
          <w:color w:val="auto"/>
          <w:highlight w:val="none"/>
        </w:rPr>
      </w:pPr>
      <w:r>
        <w:rPr>
          <w:rFonts w:hint="eastAsia" w:ascii="宋体" w:hAnsi="宋体" w:cs="宋体"/>
          <w:color w:val="auto"/>
          <w:highlight w:val="none"/>
        </w:rPr>
        <w:t>一、公告发布媒体：</w:t>
      </w:r>
    </w:p>
    <w:p w14:paraId="24516667">
      <w:pPr>
        <w:shd w:val="clear"/>
        <w:spacing w:line="440" w:lineRule="exact"/>
        <w:ind w:firstLine="480" w:firstLineChars="200"/>
        <w:jc w:val="both"/>
        <w:rPr>
          <w:rFonts w:ascii="宋体" w:hAnsi="宋体" w:cs="宋体"/>
          <w:color w:val="auto"/>
          <w:highlight w:val="none"/>
        </w:rPr>
      </w:pPr>
      <w:r>
        <w:rPr>
          <w:rFonts w:hint="eastAsia" w:ascii="宋体" w:hAnsi="宋体" w:cs="宋体"/>
          <w:color w:val="auto"/>
          <w:highlight w:val="none"/>
        </w:rPr>
        <w:t>详见第一章</w:t>
      </w:r>
      <w:bookmarkStart w:id="159" w:name="_GoBack"/>
      <w:bookmarkEnd w:id="159"/>
    </w:p>
    <w:p w14:paraId="447DC7B4">
      <w:pPr>
        <w:shd w:val="clear"/>
        <w:spacing w:beforeLines="50" w:afterLines="50" w:line="360" w:lineRule="auto"/>
        <w:ind w:firstLine="480" w:firstLineChars="200"/>
        <w:rPr>
          <w:rFonts w:ascii="宋体" w:hAnsi="宋体" w:cs="宋体"/>
          <w:color w:val="auto"/>
          <w:highlight w:val="none"/>
        </w:rPr>
      </w:pPr>
      <w:r>
        <w:rPr>
          <w:rFonts w:hint="eastAsia" w:ascii="宋体" w:hAnsi="宋体" w:cs="宋体"/>
          <w:color w:val="auto"/>
          <w:highlight w:val="none"/>
        </w:rPr>
        <w:t>二、变更公告</w:t>
      </w:r>
    </w:p>
    <w:p w14:paraId="1CB086E3">
      <w:pPr>
        <w:widowControl w:val="0"/>
        <w:shd w:val="clear"/>
        <w:spacing w:line="360" w:lineRule="auto"/>
        <w:ind w:firstLine="480" w:firstLineChars="200"/>
        <w:rPr>
          <w:color w:val="auto"/>
          <w:highlight w:val="none"/>
        </w:rPr>
      </w:pPr>
      <w:r>
        <w:rPr>
          <w:rFonts w:hint="eastAsia" w:ascii="宋体" w:hAnsi="宋体" w:cs="宋体"/>
          <w:color w:val="auto"/>
          <w:highlight w:val="none"/>
        </w:rPr>
        <w:t>本项目将根据实际情况及需要，发布技术参数、开评审时间调整等有关内容的变更公告。变更公告是比选文件的组成部分，与比选文件具有同等法律效力。</w:t>
      </w:r>
    </w:p>
    <w:p w14:paraId="1FF20166">
      <w:pPr>
        <w:pStyle w:val="15"/>
        <w:widowControl w:val="0"/>
        <w:shd w:val="clear"/>
        <w:spacing w:line="360" w:lineRule="auto"/>
        <w:rPr>
          <w:color w:val="auto"/>
          <w:highlight w:val="none"/>
        </w:rPr>
      </w:pPr>
    </w:p>
    <w:p w14:paraId="533D164B">
      <w:pPr>
        <w:pStyle w:val="4"/>
        <w:widowControl w:val="0"/>
        <w:shd w:val="clear"/>
        <w:spacing w:line="360" w:lineRule="auto"/>
        <w:rPr>
          <w:rFonts w:ascii="宋体" w:hAnsi="宋体" w:eastAsia="宋体" w:cs="宋体"/>
          <w:b/>
          <w:color w:val="auto"/>
          <w:sz w:val="28"/>
          <w:szCs w:val="28"/>
          <w:highlight w:val="none"/>
        </w:rPr>
      </w:pPr>
      <w:bookmarkStart w:id="100" w:name="_Toc12071"/>
      <w:bookmarkStart w:id="101" w:name="_Toc406671694"/>
      <w:bookmarkStart w:id="102" w:name="_Toc406672397"/>
      <w:bookmarkStart w:id="103" w:name="_Toc95128215"/>
      <w:bookmarkStart w:id="104" w:name="_Toc3865"/>
      <w:bookmarkStart w:id="105" w:name="_Toc406671106"/>
      <w:bookmarkStart w:id="106" w:name="_Toc406670735"/>
      <w:r>
        <w:rPr>
          <w:rFonts w:hint="eastAsia" w:ascii="宋体" w:hAnsi="宋体" w:eastAsia="宋体" w:cs="宋体"/>
          <w:b/>
          <w:color w:val="auto"/>
          <w:sz w:val="28"/>
          <w:szCs w:val="28"/>
          <w:highlight w:val="none"/>
        </w:rPr>
        <w:t>第二节  获取比选文件</w:t>
      </w:r>
      <w:bookmarkEnd w:id="100"/>
      <w:bookmarkEnd w:id="101"/>
      <w:bookmarkEnd w:id="102"/>
      <w:bookmarkEnd w:id="103"/>
      <w:bookmarkEnd w:id="104"/>
      <w:bookmarkEnd w:id="105"/>
      <w:bookmarkEnd w:id="106"/>
    </w:p>
    <w:p w14:paraId="686CC916">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一、获取时间</w:t>
      </w:r>
    </w:p>
    <w:p w14:paraId="4B884179">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以本项目公告时间为准。</w:t>
      </w:r>
    </w:p>
    <w:p w14:paraId="7D38F869">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二、获取方式</w:t>
      </w:r>
    </w:p>
    <w:p w14:paraId="5ACD1FEA">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按本项目公告确定的方式获取。</w:t>
      </w:r>
    </w:p>
    <w:p w14:paraId="45CE820F">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三、比选文件的澄清和修改</w:t>
      </w:r>
    </w:p>
    <w:p w14:paraId="1770D7DA">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（一）比选文件的澄清和修改：</w:t>
      </w:r>
      <w:r>
        <w:rPr>
          <w:rFonts w:hint="eastAsia" w:ascii="宋体" w:hAnsi="宋体" w:cs="宋体"/>
          <w:color w:val="auto"/>
          <w:highlight w:val="none"/>
          <w:lang w:val="en-US" w:eastAsia="zh-CN"/>
        </w:rPr>
        <w:t>采购</w:t>
      </w:r>
      <w:r>
        <w:rPr>
          <w:rFonts w:hint="eastAsia" w:ascii="宋体" w:hAnsi="宋体" w:cs="宋体"/>
          <w:color w:val="auto"/>
          <w:highlight w:val="none"/>
        </w:rPr>
        <w:t>人可以对已发出的比选文件进行必要的澄清或者修改，澄清或者修改的内容作为比选文件的组成部分。澄清或者修改的内容可能影响响应文件编制的，</w:t>
      </w:r>
      <w:r>
        <w:rPr>
          <w:rFonts w:hint="eastAsia" w:ascii="宋体" w:hAnsi="宋体" w:cs="宋体"/>
          <w:color w:val="auto"/>
          <w:highlight w:val="none"/>
          <w:lang w:val="en-US" w:eastAsia="zh-CN"/>
        </w:rPr>
        <w:t>采购</w:t>
      </w:r>
      <w:r>
        <w:rPr>
          <w:rFonts w:hint="eastAsia" w:ascii="宋体" w:hAnsi="宋体" w:cs="宋体"/>
          <w:color w:val="auto"/>
          <w:highlight w:val="none"/>
        </w:rPr>
        <w:t>人应当在提交首次响应文件截止之日3个工作日前，以书面形式通知所有接收比选文件的参选人，不足3个工作日的，应当顺延提交首次响应文件截止之日。补充变更文件是比选文件的组成部分，对所有参选人均具有约束力。所有比选文件的补充、变更将以变更公告形式发布。</w:t>
      </w:r>
    </w:p>
    <w:p w14:paraId="5470BAEA">
      <w:pPr>
        <w:widowControl w:val="0"/>
        <w:shd w:val="clear"/>
        <w:spacing w:line="360" w:lineRule="auto"/>
        <w:ind w:firstLine="480" w:firstLineChars="200"/>
        <w:jc w:val="both"/>
        <w:rPr>
          <w:color w:val="auto"/>
          <w:highlight w:val="none"/>
        </w:rPr>
      </w:pPr>
      <w:r>
        <w:rPr>
          <w:rFonts w:hint="eastAsia" w:ascii="宋体" w:hAnsi="宋体" w:cs="宋体"/>
          <w:color w:val="auto"/>
          <w:highlight w:val="none"/>
        </w:rPr>
        <w:t>（二）比选文件的质疑：参选人或潜在参选人对比选文件中存在的任何含糊、遗漏、相互矛盾之处，或对技术规格及其他条件不清楚，或比选文件具有不合理、不公平、歧视性、限制性、指向性条款损害潜在参选人权益的，或参选人有疑问的其他事项，参选人或潜在参选人在首次响应文件截止之日3个工作日前可向</w:t>
      </w:r>
      <w:r>
        <w:rPr>
          <w:rFonts w:hint="eastAsia" w:ascii="宋体" w:hAnsi="宋体" w:cs="宋体"/>
          <w:color w:val="auto"/>
          <w:highlight w:val="none"/>
          <w:lang w:val="en-US" w:eastAsia="zh-CN"/>
        </w:rPr>
        <w:t>采购</w:t>
      </w:r>
      <w:r>
        <w:rPr>
          <w:rFonts w:hint="eastAsia" w:ascii="宋体" w:hAnsi="宋体" w:cs="宋体"/>
          <w:color w:val="auto"/>
          <w:highlight w:val="none"/>
        </w:rPr>
        <w:t>人提出书面质疑，对</w:t>
      </w:r>
      <w:r>
        <w:rPr>
          <w:rFonts w:hint="eastAsia" w:ascii="宋体" w:hAnsi="宋体" w:cs="宋体"/>
          <w:color w:val="auto"/>
          <w:highlight w:val="none"/>
          <w:lang w:val="en-US" w:eastAsia="zh-CN"/>
        </w:rPr>
        <w:t>采购</w:t>
      </w:r>
      <w:r>
        <w:rPr>
          <w:rFonts w:hint="eastAsia" w:ascii="宋体" w:hAnsi="宋体" w:cs="宋体"/>
          <w:color w:val="auto"/>
          <w:highlight w:val="none"/>
        </w:rPr>
        <w:t>人质疑回复不满意的可向监督部门进行投诉。未递交质疑函的视为充分理解并认可比选文件及补充变更的所有内容。</w:t>
      </w:r>
    </w:p>
    <w:p w14:paraId="60723F80">
      <w:pPr>
        <w:pStyle w:val="4"/>
        <w:widowControl w:val="0"/>
        <w:shd w:val="clear"/>
        <w:spacing w:line="360" w:lineRule="auto"/>
        <w:jc w:val="left"/>
        <w:rPr>
          <w:rFonts w:ascii="宋体" w:hAnsi="宋体" w:eastAsia="宋体" w:cs="宋体"/>
          <w:b/>
          <w:color w:val="auto"/>
          <w:sz w:val="28"/>
          <w:szCs w:val="28"/>
          <w:highlight w:val="none"/>
        </w:rPr>
      </w:pPr>
      <w:bookmarkStart w:id="107" w:name="_Toc406671107"/>
      <w:bookmarkStart w:id="108" w:name="_Toc406671695"/>
      <w:bookmarkStart w:id="109" w:name="_Toc406672398"/>
      <w:bookmarkStart w:id="110" w:name="_Toc406670736"/>
    </w:p>
    <w:p w14:paraId="6A13E314">
      <w:pPr>
        <w:pStyle w:val="4"/>
        <w:widowControl w:val="0"/>
        <w:shd w:val="clear"/>
        <w:spacing w:line="360" w:lineRule="auto"/>
        <w:rPr>
          <w:rFonts w:hint="eastAsia" w:ascii="宋体" w:hAnsi="宋体" w:eastAsia="宋体" w:cs="宋体"/>
          <w:b/>
          <w:color w:val="auto"/>
          <w:sz w:val="28"/>
          <w:szCs w:val="28"/>
          <w:highlight w:val="none"/>
          <w:lang w:eastAsia="zh-CN"/>
        </w:rPr>
      </w:pPr>
      <w:bookmarkStart w:id="111" w:name="_Toc95128216"/>
      <w:bookmarkStart w:id="112" w:name="_Toc30124"/>
      <w:bookmarkStart w:id="113" w:name="_Toc10004"/>
      <w:r>
        <w:rPr>
          <w:rFonts w:hint="eastAsia" w:ascii="宋体" w:hAnsi="宋体" w:eastAsia="宋体" w:cs="宋体"/>
          <w:b/>
          <w:color w:val="auto"/>
          <w:sz w:val="28"/>
          <w:szCs w:val="28"/>
          <w:highlight w:val="none"/>
        </w:rPr>
        <w:t>第三节   比选保证金</w:t>
      </w:r>
      <w:bookmarkEnd w:id="107"/>
      <w:bookmarkEnd w:id="108"/>
      <w:bookmarkEnd w:id="109"/>
      <w:bookmarkEnd w:id="110"/>
      <w:bookmarkEnd w:id="111"/>
      <w:bookmarkEnd w:id="112"/>
      <w:bookmarkEnd w:id="113"/>
    </w:p>
    <w:p w14:paraId="34EE48F3">
      <w:pPr>
        <w:pStyle w:val="15"/>
        <w:widowControl w:val="0"/>
        <w:shd w:val="clear"/>
        <w:spacing w:line="360" w:lineRule="auto"/>
        <w:ind w:firstLine="420" w:firstLineChars="200"/>
        <w:rPr>
          <w:rFonts w:hint="eastAsia" w:eastAsia="宋体"/>
          <w:color w:val="auto"/>
          <w:highlight w:val="none"/>
          <w:lang w:eastAsia="zh-CN"/>
        </w:rPr>
      </w:pPr>
      <w:r>
        <w:rPr>
          <w:rFonts w:hint="eastAsia" w:ascii="宋体" w:hAnsi="宋体" w:cs="宋体"/>
          <w:color w:val="auto"/>
          <w:highlight w:val="none"/>
          <w:lang w:val="en-US" w:eastAsia="zh-CN"/>
        </w:rPr>
        <w:t>无</w:t>
      </w:r>
      <w:r>
        <w:rPr>
          <w:rFonts w:hint="eastAsia" w:ascii="黑体" w:hAnsi="黑体" w:eastAsia="黑体" w:cs="宋体"/>
          <w:color w:val="auto"/>
          <w:highlight w:val="none"/>
          <w:lang w:val="en-US" w:eastAsia="zh-CN"/>
        </w:rPr>
        <w:t xml:space="preserve"> </w:t>
      </w:r>
    </w:p>
    <w:p w14:paraId="5ADAFA47">
      <w:pPr>
        <w:pStyle w:val="4"/>
        <w:widowControl w:val="0"/>
        <w:shd w:val="clear"/>
        <w:spacing w:line="360" w:lineRule="auto"/>
        <w:rPr>
          <w:rFonts w:ascii="宋体" w:hAnsi="宋体" w:eastAsia="宋体" w:cs="宋体"/>
          <w:b/>
          <w:color w:val="auto"/>
          <w:sz w:val="28"/>
          <w:szCs w:val="28"/>
          <w:highlight w:val="none"/>
        </w:rPr>
      </w:pPr>
      <w:bookmarkStart w:id="114" w:name="_Toc406671696"/>
      <w:bookmarkStart w:id="115" w:name="_Toc406672399"/>
      <w:bookmarkStart w:id="116" w:name="_Toc406671108"/>
      <w:bookmarkStart w:id="117" w:name="_Toc406670737"/>
      <w:bookmarkStart w:id="118" w:name="_Toc95128217"/>
      <w:bookmarkStart w:id="119" w:name="_Toc29453"/>
      <w:bookmarkStart w:id="120" w:name="_Toc22701"/>
      <w:r>
        <w:rPr>
          <w:rFonts w:hint="eastAsia" w:ascii="宋体" w:hAnsi="宋体" w:eastAsia="宋体" w:cs="宋体"/>
          <w:b/>
          <w:color w:val="auto"/>
          <w:sz w:val="28"/>
          <w:szCs w:val="28"/>
          <w:highlight w:val="none"/>
        </w:rPr>
        <w:t>第四节  递交</w:t>
      </w:r>
      <w:bookmarkEnd w:id="114"/>
      <w:bookmarkEnd w:id="115"/>
      <w:bookmarkEnd w:id="116"/>
      <w:bookmarkEnd w:id="117"/>
      <w:r>
        <w:rPr>
          <w:rFonts w:hint="eastAsia" w:ascii="宋体" w:hAnsi="宋体" w:eastAsia="宋体" w:cs="宋体"/>
          <w:b/>
          <w:color w:val="auto"/>
          <w:sz w:val="28"/>
          <w:szCs w:val="28"/>
          <w:highlight w:val="none"/>
        </w:rPr>
        <w:t>响应文件</w:t>
      </w:r>
      <w:bookmarkEnd w:id="118"/>
      <w:bookmarkEnd w:id="119"/>
      <w:bookmarkEnd w:id="120"/>
    </w:p>
    <w:p w14:paraId="7E0F8CAA">
      <w:pPr>
        <w:widowControl w:val="0"/>
        <w:shd w:val="clear"/>
        <w:spacing w:line="360" w:lineRule="auto"/>
        <w:ind w:firstLine="482" w:firstLineChars="200"/>
        <w:jc w:val="both"/>
        <w:rPr>
          <w:rFonts w:ascii="宋体" w:hAnsi="宋体" w:cs="宋体"/>
          <w:color w:val="auto"/>
          <w:highlight w:val="none"/>
        </w:rPr>
      </w:pPr>
      <w:bookmarkStart w:id="121" w:name="_Toc406672400"/>
      <w:bookmarkStart w:id="122" w:name="_Toc406670738"/>
      <w:bookmarkStart w:id="123" w:name="_Toc406671697"/>
      <w:bookmarkStart w:id="124" w:name="_Toc406671109"/>
      <w:r>
        <w:rPr>
          <w:rFonts w:hint="eastAsia" w:ascii="宋体" w:hAnsi="宋体" w:cs="宋体"/>
          <w:b/>
          <w:bCs/>
          <w:color w:val="auto"/>
          <w:highlight w:val="none"/>
        </w:rPr>
        <w:t>递交时间：</w:t>
      </w:r>
      <w:r>
        <w:rPr>
          <w:rFonts w:hint="eastAsia" w:ascii="宋体" w:hAnsi="宋体" w:cs="宋体"/>
          <w:color w:val="auto"/>
          <w:highlight w:val="none"/>
        </w:rPr>
        <w:t>以</w:t>
      </w:r>
      <w:r>
        <w:rPr>
          <w:rFonts w:hint="eastAsia" w:ascii="宋体" w:hAnsi="宋体" w:cs="宋体"/>
          <w:color w:val="auto"/>
          <w:highlight w:val="none"/>
          <w:lang w:val="en-US" w:eastAsia="zh-CN"/>
        </w:rPr>
        <w:t>采购</w:t>
      </w:r>
      <w:r>
        <w:rPr>
          <w:rFonts w:hint="eastAsia" w:ascii="宋体" w:hAnsi="宋体" w:cs="宋体"/>
          <w:color w:val="auto"/>
          <w:highlight w:val="none"/>
        </w:rPr>
        <w:t>人或代理机构发</w:t>
      </w:r>
      <w:r>
        <w:rPr>
          <w:rFonts w:ascii="宋体" w:hAnsi="宋体" w:cs="宋体"/>
          <w:color w:val="auto"/>
          <w:highlight w:val="none"/>
        </w:rPr>
        <w:t>出的</w:t>
      </w:r>
      <w:r>
        <w:rPr>
          <w:rFonts w:hint="eastAsia" w:ascii="宋体" w:hAnsi="宋体" w:cs="宋体"/>
          <w:color w:val="auto"/>
          <w:highlight w:val="none"/>
        </w:rPr>
        <w:t>公告为准，如有变动，以</w:t>
      </w:r>
      <w:r>
        <w:rPr>
          <w:rFonts w:hint="eastAsia" w:ascii="宋体" w:hAnsi="宋体" w:cs="宋体"/>
          <w:color w:val="auto"/>
          <w:highlight w:val="none"/>
          <w:lang w:val="en-US" w:eastAsia="zh-CN"/>
        </w:rPr>
        <w:t>采购</w:t>
      </w:r>
      <w:r>
        <w:rPr>
          <w:rFonts w:hint="eastAsia" w:ascii="宋体" w:hAnsi="宋体" w:cs="宋体"/>
          <w:color w:val="auto"/>
          <w:highlight w:val="none"/>
        </w:rPr>
        <w:t>人或代理</w:t>
      </w:r>
      <w:r>
        <w:rPr>
          <w:rFonts w:ascii="宋体" w:hAnsi="宋体" w:cs="宋体"/>
          <w:color w:val="auto"/>
          <w:highlight w:val="none"/>
        </w:rPr>
        <w:t>机构通知的</w:t>
      </w:r>
      <w:r>
        <w:rPr>
          <w:rFonts w:hint="eastAsia" w:ascii="宋体" w:hAnsi="宋体" w:cs="宋体"/>
          <w:color w:val="auto"/>
          <w:highlight w:val="none"/>
        </w:rPr>
        <w:t>时间为准。</w:t>
      </w:r>
    </w:p>
    <w:p w14:paraId="741819E2">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注意：比选参与人须在递交文件截止时间前递交密封的响应文件，</w:t>
      </w:r>
      <w:r>
        <w:rPr>
          <w:rFonts w:hint="eastAsia" w:ascii="宋体" w:hAnsi="宋体" w:cs="宋体"/>
          <w:color w:val="auto"/>
          <w:highlight w:val="none"/>
          <w:lang w:val="en-US" w:eastAsia="zh-CN"/>
        </w:rPr>
        <w:t>采购</w:t>
      </w:r>
      <w:r>
        <w:rPr>
          <w:rFonts w:hint="eastAsia" w:ascii="宋体" w:hAnsi="宋体" w:cs="宋体"/>
          <w:color w:val="auto"/>
          <w:highlight w:val="none"/>
        </w:rPr>
        <w:t>人或代理</w:t>
      </w:r>
      <w:r>
        <w:rPr>
          <w:rFonts w:ascii="宋体" w:hAnsi="宋体" w:cs="宋体"/>
          <w:color w:val="auto"/>
          <w:highlight w:val="none"/>
        </w:rPr>
        <w:t>机构</w:t>
      </w:r>
      <w:r>
        <w:rPr>
          <w:rFonts w:hint="eastAsia" w:ascii="宋体" w:hAnsi="宋体" w:cs="宋体"/>
          <w:color w:val="auto"/>
          <w:highlight w:val="none"/>
        </w:rPr>
        <w:t>工作人员对递交的响应文件进行登记。不接受逾时、未按要求封装的响应文件。</w:t>
      </w:r>
    </w:p>
    <w:p w14:paraId="23D6298A">
      <w:pPr>
        <w:pStyle w:val="4"/>
        <w:widowControl w:val="0"/>
        <w:shd w:val="clear"/>
        <w:spacing w:line="360" w:lineRule="auto"/>
        <w:rPr>
          <w:rFonts w:ascii="宋体" w:hAnsi="宋体" w:eastAsia="宋体" w:cs="宋体"/>
          <w:b/>
          <w:color w:val="auto"/>
          <w:sz w:val="28"/>
          <w:szCs w:val="28"/>
          <w:highlight w:val="none"/>
        </w:rPr>
      </w:pPr>
    </w:p>
    <w:p w14:paraId="64AEA5BD">
      <w:pPr>
        <w:pStyle w:val="4"/>
        <w:widowControl w:val="0"/>
        <w:shd w:val="clear"/>
        <w:spacing w:line="360" w:lineRule="auto"/>
        <w:rPr>
          <w:rFonts w:ascii="宋体" w:hAnsi="宋体" w:eastAsia="宋体" w:cs="宋体"/>
          <w:b/>
          <w:color w:val="auto"/>
          <w:sz w:val="28"/>
          <w:szCs w:val="28"/>
          <w:highlight w:val="none"/>
        </w:rPr>
      </w:pPr>
      <w:bookmarkStart w:id="125" w:name="_Toc4470"/>
      <w:bookmarkStart w:id="126" w:name="_Toc95128218"/>
      <w:bookmarkStart w:id="127" w:name="_Toc14470"/>
      <w:r>
        <w:rPr>
          <w:rFonts w:hint="eastAsia" w:ascii="宋体" w:hAnsi="宋体" w:eastAsia="宋体" w:cs="宋体"/>
          <w:b/>
          <w:color w:val="auto"/>
          <w:sz w:val="28"/>
          <w:szCs w:val="28"/>
          <w:highlight w:val="none"/>
        </w:rPr>
        <w:t xml:space="preserve">第五节 </w:t>
      </w:r>
      <w:bookmarkEnd w:id="121"/>
      <w:bookmarkEnd w:id="122"/>
      <w:bookmarkEnd w:id="123"/>
      <w:bookmarkEnd w:id="124"/>
      <w:r>
        <w:rPr>
          <w:rFonts w:hint="eastAsia" w:ascii="宋体" w:hAnsi="宋体" w:eastAsia="宋体" w:cs="宋体"/>
          <w:b/>
          <w:color w:val="auto"/>
          <w:sz w:val="28"/>
          <w:szCs w:val="28"/>
          <w:highlight w:val="none"/>
        </w:rPr>
        <w:t xml:space="preserve"> 比选程序</w:t>
      </w:r>
      <w:bookmarkEnd w:id="125"/>
      <w:bookmarkEnd w:id="126"/>
      <w:bookmarkEnd w:id="127"/>
    </w:p>
    <w:p w14:paraId="47AB1E0E">
      <w:pPr>
        <w:widowControl w:val="0"/>
        <w:shd w:val="clear"/>
        <w:spacing w:line="360" w:lineRule="auto"/>
        <w:ind w:firstLine="480" w:firstLineChars="200"/>
        <w:jc w:val="both"/>
        <w:rPr>
          <w:rFonts w:ascii="黑体" w:hAnsi="黑体" w:eastAsia="黑体" w:cs="黑体"/>
          <w:bCs/>
          <w:color w:val="auto"/>
          <w:highlight w:val="none"/>
        </w:rPr>
      </w:pPr>
      <w:r>
        <w:rPr>
          <w:rFonts w:hint="eastAsia" w:ascii="黑体" w:hAnsi="黑体" w:eastAsia="黑体" w:cs="黑体"/>
          <w:bCs/>
          <w:color w:val="auto"/>
          <w:highlight w:val="none"/>
        </w:rPr>
        <w:t>一、比选流程</w:t>
      </w:r>
    </w:p>
    <w:p w14:paraId="08299488">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bCs/>
          <w:color w:val="auto"/>
          <w:highlight w:val="none"/>
        </w:rPr>
        <w:t>1.宣读纪律：</w:t>
      </w:r>
      <w:r>
        <w:rPr>
          <w:rFonts w:hint="eastAsia" w:ascii="宋体" w:hAnsi="宋体" w:cs="宋体"/>
          <w:color w:val="auto"/>
          <w:highlight w:val="none"/>
        </w:rPr>
        <w:t>截止时间到，工作人员宣布比选会开始，并宣读会场纪律和注意事项。</w:t>
      </w:r>
    </w:p>
    <w:p w14:paraId="4609DE92">
      <w:pPr>
        <w:widowControl w:val="0"/>
        <w:shd w:val="clear"/>
        <w:spacing w:line="360" w:lineRule="auto"/>
        <w:ind w:firstLine="482" w:firstLineChars="200"/>
        <w:jc w:val="both"/>
        <w:rPr>
          <w:rFonts w:hint="eastAsia" w:ascii="宋体" w:hAnsi="宋体" w:cs="宋体"/>
          <w:color w:val="auto"/>
          <w:highlight w:val="none"/>
        </w:rPr>
      </w:pPr>
      <w:r>
        <w:rPr>
          <w:rFonts w:hint="eastAsia" w:ascii="宋体" w:hAnsi="宋体" w:cs="宋体"/>
          <w:b/>
          <w:bCs/>
          <w:color w:val="auto"/>
          <w:highlight w:val="none"/>
          <w:lang w:val="en-US" w:eastAsia="zh-CN"/>
        </w:rPr>
        <w:t>2</w:t>
      </w:r>
      <w:r>
        <w:rPr>
          <w:rFonts w:hint="eastAsia" w:ascii="宋体" w:hAnsi="宋体" w:cs="宋体"/>
          <w:b/>
          <w:bCs/>
          <w:color w:val="auto"/>
          <w:highlight w:val="none"/>
        </w:rPr>
        <w:t>.初步审查：</w:t>
      </w:r>
      <w:r>
        <w:rPr>
          <w:rFonts w:hint="eastAsia" w:ascii="宋体" w:hAnsi="宋体" w:cs="宋体"/>
          <w:color w:val="auto"/>
          <w:highlight w:val="none"/>
        </w:rPr>
        <w:t>比选小组严格依据响应文件所提供的资料，对照《初步审查表》所列内容对比选参与人进行资格性审查及符合性审查，审查通过的比选参与人进入比选环节。未通过初步审查的不参与评分和成交候选人推荐。通过初步审查的比选参与人不足</w:t>
      </w:r>
      <w:r>
        <w:rPr>
          <w:rFonts w:hint="eastAsia" w:ascii="宋体" w:hAnsi="宋体" w:cs="宋体"/>
          <w:color w:val="auto"/>
          <w:highlight w:val="none"/>
          <w:lang w:val="en-US" w:eastAsia="zh-CN"/>
        </w:rPr>
        <w:t>两</w:t>
      </w:r>
      <w:r>
        <w:rPr>
          <w:rFonts w:hint="eastAsia" w:ascii="宋体" w:hAnsi="宋体" w:cs="宋体"/>
          <w:color w:val="auto"/>
          <w:highlight w:val="none"/>
        </w:rPr>
        <w:t>家的，本项目作废标处理，比选工作结束。</w:t>
      </w:r>
    </w:p>
    <w:p w14:paraId="74FE9546">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(1)资格性检查：</w:t>
      </w:r>
      <w:r>
        <w:rPr>
          <w:rFonts w:hint="eastAsia" w:ascii="宋体" w:hAnsi="宋体" w:cs="宋体"/>
          <w:color w:val="auto"/>
          <w:highlight w:val="none"/>
        </w:rPr>
        <w:t>比选小组参照法律法规和根据比选文件《初步审查表》中所列比选参与人资格要求，对比选参与人资格证明文件的齐全性和有效性、是否超出经营范围等情况进行审查。</w:t>
      </w:r>
    </w:p>
    <w:p w14:paraId="2D7F3223">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(2)符合性检查：</w:t>
      </w:r>
      <w:r>
        <w:rPr>
          <w:rFonts w:hint="eastAsia" w:ascii="宋体" w:hAnsi="宋体" w:cs="宋体"/>
          <w:color w:val="auto"/>
          <w:highlight w:val="none"/>
        </w:rPr>
        <w:t>比选小组审查响应文件是否对比选文件作了实质性响应。技术符合性：比选服务的适用性、技术成熟性、技术性能等符合比选文件要求，技术参数和规格满足比选文件要求，无实质性负偏离、反对、设定条件或提出保留；商务符合性：业绩、交货期、质保期、付款条件符合比选文件要求；不低于成本报价；响应文件的组成、响应文件的完整性和有效性、比选有效期等符合比选文件规定，比选文件提出的主要条款、条件无实质性负偏离、反对、设定条件或提出保留。</w:t>
      </w:r>
    </w:p>
    <w:p w14:paraId="6B47ECAB">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rPr>
        <w:t>(3)无效标检查：</w:t>
      </w:r>
      <w:r>
        <w:rPr>
          <w:rFonts w:hint="eastAsia" w:ascii="宋体" w:hAnsi="宋体" w:cs="宋体"/>
          <w:color w:val="auto"/>
          <w:highlight w:val="none"/>
        </w:rPr>
        <w:t>根据比选文件中的无效标条款，检查比选参与人的比选是否属于无效标。</w:t>
      </w:r>
    </w:p>
    <w:p w14:paraId="569446A9">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lang w:val="en-US" w:eastAsia="zh-CN"/>
        </w:rPr>
        <w:t>3</w:t>
      </w:r>
      <w:r>
        <w:rPr>
          <w:rFonts w:hint="eastAsia" w:ascii="宋体" w:hAnsi="宋体" w:cs="宋体"/>
          <w:b/>
          <w:color w:val="auto"/>
          <w:highlight w:val="none"/>
        </w:rPr>
        <w:t>.综合评分</w:t>
      </w:r>
      <w:r>
        <w:rPr>
          <w:rFonts w:hint="eastAsia" w:ascii="宋体" w:hAnsi="宋体" w:cs="宋体"/>
          <w:color w:val="auto"/>
          <w:highlight w:val="none"/>
        </w:rPr>
        <w:t>：</w:t>
      </w:r>
      <w:r>
        <w:rPr>
          <w:rFonts w:hint="eastAsia" w:ascii="宋体" w:hAnsi="宋体" w:cs="宋体"/>
          <w:color w:val="auto"/>
          <w:highlight w:val="none"/>
          <w:lang w:eastAsia="zh-CN"/>
        </w:rPr>
        <w:t>比选小组</w:t>
      </w:r>
      <w:r>
        <w:rPr>
          <w:rFonts w:hint="eastAsia" w:ascii="宋体" w:hAnsi="宋体" w:cs="宋体"/>
          <w:color w:val="auto"/>
          <w:highlight w:val="none"/>
        </w:rPr>
        <w:t>严格按照评分表逐项对响应文件进行评分。评分依据为响应文件提供的有效资料。响应文件中未提供的资料、未明确的内容，</w:t>
      </w:r>
      <w:r>
        <w:rPr>
          <w:rFonts w:hint="eastAsia" w:ascii="宋体" w:hAnsi="宋体" w:cs="宋体"/>
          <w:color w:val="auto"/>
          <w:highlight w:val="none"/>
          <w:lang w:eastAsia="zh-CN"/>
        </w:rPr>
        <w:t>比选小组</w:t>
      </w:r>
      <w:r>
        <w:rPr>
          <w:rFonts w:hint="eastAsia" w:ascii="宋体" w:hAnsi="宋体" w:cs="宋体"/>
          <w:color w:val="auto"/>
          <w:highlight w:val="none"/>
        </w:rPr>
        <w:t>不得以个人的意愿、猜想、推测等方式得出的结论作为评分依据。</w:t>
      </w:r>
      <w:r>
        <w:rPr>
          <w:rFonts w:hint="eastAsia" w:ascii="宋体" w:hAnsi="宋体" w:cs="宋体"/>
          <w:color w:val="auto"/>
          <w:highlight w:val="none"/>
          <w:lang w:eastAsia="zh-CN"/>
        </w:rPr>
        <w:t>比选小组</w:t>
      </w:r>
      <w:r>
        <w:rPr>
          <w:rFonts w:hint="eastAsia" w:ascii="宋体" w:hAnsi="宋体" w:cs="宋体"/>
          <w:color w:val="auto"/>
          <w:highlight w:val="none"/>
        </w:rPr>
        <w:t>须独立评分，不得相互抄袭评分分值（价格分除外）。</w:t>
      </w:r>
    </w:p>
    <w:p w14:paraId="69711EF9">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lang w:val="en-US" w:eastAsia="zh-CN"/>
        </w:rPr>
        <w:t>4</w:t>
      </w:r>
      <w:r>
        <w:rPr>
          <w:rFonts w:hint="eastAsia" w:ascii="宋体" w:hAnsi="宋体" w:cs="宋体"/>
          <w:b/>
          <w:color w:val="auto"/>
          <w:highlight w:val="none"/>
        </w:rPr>
        <w:t>.评分汇总：</w:t>
      </w:r>
      <w:r>
        <w:rPr>
          <w:rFonts w:hint="eastAsia" w:ascii="宋体" w:hAnsi="宋体" w:cs="宋体"/>
          <w:color w:val="auto"/>
          <w:highlight w:val="none"/>
        </w:rPr>
        <w:t>将各</w:t>
      </w:r>
      <w:r>
        <w:rPr>
          <w:rFonts w:hint="eastAsia" w:ascii="宋体" w:hAnsi="宋体" w:cs="宋体"/>
          <w:color w:val="auto"/>
          <w:highlight w:val="none"/>
          <w:lang w:eastAsia="zh-CN"/>
        </w:rPr>
        <w:t>比选小组</w:t>
      </w:r>
      <w:r>
        <w:rPr>
          <w:rFonts w:hint="eastAsia" w:ascii="宋体" w:hAnsi="宋体" w:cs="宋体"/>
          <w:color w:val="auto"/>
          <w:highlight w:val="none"/>
        </w:rPr>
        <w:t>的评分表汇总到评分汇总表，评分汇总表保留两位小数，按最终综合得分由高至低依次对比选参与人进行推荐排序。综合得分相同的，按比选报价由低到高顺序排列，综合得分且比选报价相同的，按技术</w:t>
      </w:r>
      <w:r>
        <w:rPr>
          <w:rFonts w:hint="eastAsia"/>
          <w:color w:val="auto"/>
          <w:highlight w:val="none"/>
        </w:rPr>
        <w:t>优劣顺序</w:t>
      </w:r>
      <w:r>
        <w:rPr>
          <w:rFonts w:hint="eastAsia" w:ascii="宋体" w:hAnsi="宋体" w:cs="宋体"/>
          <w:color w:val="auto"/>
          <w:highlight w:val="none"/>
        </w:rPr>
        <w:t>排列。各专家评分表填报完成并签字后，</w:t>
      </w:r>
      <w:r>
        <w:rPr>
          <w:rFonts w:hint="eastAsia" w:ascii="宋体" w:hAnsi="宋体" w:cs="宋体"/>
          <w:color w:val="auto"/>
          <w:highlight w:val="none"/>
          <w:lang w:eastAsia="zh-CN"/>
        </w:rPr>
        <w:t>比选小组</w:t>
      </w:r>
      <w:r>
        <w:rPr>
          <w:rFonts w:hint="eastAsia" w:ascii="宋体" w:hAnsi="宋体" w:cs="宋体"/>
          <w:color w:val="auto"/>
          <w:highlight w:val="none"/>
        </w:rPr>
        <w:t>不得再更改各项打分分值（价格分及总分计算错误的，按专家签字的总分由比选小组通报监督人员后自行修订分项分数后汇总）。</w:t>
      </w:r>
    </w:p>
    <w:p w14:paraId="29526D51">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lang w:val="en-US" w:eastAsia="zh-CN"/>
        </w:rPr>
        <w:t>5</w:t>
      </w:r>
      <w:r>
        <w:rPr>
          <w:rFonts w:hint="eastAsia" w:ascii="宋体" w:hAnsi="宋体" w:cs="宋体"/>
          <w:b/>
          <w:color w:val="auto"/>
          <w:highlight w:val="none"/>
        </w:rPr>
        <w:t>.评审报告：</w:t>
      </w:r>
      <w:r>
        <w:rPr>
          <w:rFonts w:hint="eastAsia" w:ascii="宋体" w:hAnsi="宋体" w:cs="宋体"/>
          <w:color w:val="auto"/>
          <w:highlight w:val="none"/>
        </w:rPr>
        <w:t>根据评分汇总情况及排序情况，编写评审报告。评审报告按规定需涵盖公告发布情况、评审情况、推荐排序及有关需要说明的情况等。</w:t>
      </w:r>
      <w:r>
        <w:rPr>
          <w:rFonts w:hint="eastAsia" w:ascii="宋体" w:hAnsi="宋体" w:cs="宋体"/>
          <w:color w:val="auto"/>
          <w:highlight w:val="none"/>
          <w:lang w:eastAsia="zh-CN"/>
        </w:rPr>
        <w:t>比选小组</w:t>
      </w:r>
      <w:r>
        <w:rPr>
          <w:rFonts w:hint="eastAsia" w:ascii="宋体" w:hAnsi="宋体" w:cs="宋体"/>
          <w:color w:val="auto"/>
          <w:highlight w:val="none"/>
        </w:rPr>
        <w:t>及监督人员（如有）须在评审报告上签字确认。</w:t>
      </w:r>
    </w:p>
    <w:p w14:paraId="1CF3D423">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lang w:val="en-US" w:eastAsia="zh-CN"/>
        </w:rPr>
        <w:t>6</w:t>
      </w:r>
      <w:r>
        <w:rPr>
          <w:rFonts w:hint="eastAsia" w:ascii="宋体" w:hAnsi="宋体" w:cs="宋体"/>
          <w:b/>
          <w:color w:val="auto"/>
          <w:highlight w:val="none"/>
        </w:rPr>
        <w:t>.评审复核：</w:t>
      </w:r>
      <w:r>
        <w:rPr>
          <w:rFonts w:hint="eastAsia" w:ascii="宋体" w:hAnsi="宋体" w:cs="宋体"/>
          <w:color w:val="auto"/>
          <w:highlight w:val="none"/>
        </w:rPr>
        <w:t>比选小组成员对评审环节和评审结果进行复核。比选小组成员可对评审过程和结果中存在的遗漏或偏差进行修正，完成复核后，确定比选结果及推荐排序。评审报告应当由</w:t>
      </w:r>
      <w:r>
        <w:rPr>
          <w:rFonts w:hint="eastAsia" w:ascii="宋体" w:hAnsi="宋体" w:cs="宋体"/>
          <w:color w:val="auto"/>
          <w:highlight w:val="none"/>
          <w:lang w:eastAsia="zh-CN"/>
        </w:rPr>
        <w:t>比选小组</w:t>
      </w:r>
      <w:r>
        <w:rPr>
          <w:rFonts w:hint="eastAsia" w:ascii="宋体" w:hAnsi="宋体" w:cs="宋体"/>
          <w:color w:val="auto"/>
          <w:highlight w:val="none"/>
        </w:rPr>
        <w:t>及监督人员（如有）签字认可。</w:t>
      </w:r>
      <w:r>
        <w:rPr>
          <w:rFonts w:hint="eastAsia" w:ascii="宋体" w:hAnsi="宋体" w:cs="宋体"/>
          <w:color w:val="auto"/>
          <w:highlight w:val="none"/>
          <w:lang w:eastAsia="zh-CN"/>
        </w:rPr>
        <w:t>比选小组</w:t>
      </w:r>
      <w:r>
        <w:rPr>
          <w:rFonts w:hint="eastAsia" w:ascii="宋体" w:hAnsi="宋体" w:cs="宋体"/>
          <w:color w:val="auto"/>
          <w:highlight w:val="none"/>
        </w:rPr>
        <w:t>对评审报告有异议的，按照少数服从多数的原则推荐成交候选人，比选程序继续进行。对评审报告有异议的</w:t>
      </w:r>
      <w:r>
        <w:rPr>
          <w:rFonts w:hint="eastAsia" w:ascii="宋体" w:hAnsi="宋体" w:cs="宋体"/>
          <w:color w:val="auto"/>
          <w:highlight w:val="none"/>
          <w:lang w:eastAsia="zh-CN"/>
        </w:rPr>
        <w:t>比选小组</w:t>
      </w:r>
      <w:r>
        <w:rPr>
          <w:rFonts w:hint="eastAsia" w:ascii="宋体" w:hAnsi="宋体" w:cs="宋体"/>
          <w:color w:val="auto"/>
          <w:highlight w:val="none"/>
        </w:rPr>
        <w:t>应当在报告上签署不同意见并说明理由，由比选小组成员书面记录相关情况。</w:t>
      </w:r>
      <w:r>
        <w:rPr>
          <w:rFonts w:hint="eastAsia" w:ascii="宋体" w:hAnsi="宋体" w:cs="宋体"/>
          <w:color w:val="auto"/>
          <w:highlight w:val="none"/>
          <w:lang w:eastAsia="zh-CN"/>
        </w:rPr>
        <w:t>比选小组</w:t>
      </w:r>
      <w:r>
        <w:rPr>
          <w:rFonts w:hint="eastAsia" w:ascii="宋体" w:hAnsi="宋体" w:cs="宋体"/>
          <w:color w:val="auto"/>
          <w:highlight w:val="none"/>
        </w:rPr>
        <w:t>拒绝在报告上签字又不书面说明其不同意见和理由的，视为同意评审报告。</w:t>
      </w:r>
    </w:p>
    <w:p w14:paraId="6B7BF664">
      <w:pPr>
        <w:widowControl w:val="0"/>
        <w:shd w:val="clear"/>
        <w:spacing w:line="360" w:lineRule="auto"/>
        <w:ind w:firstLine="482" w:firstLineChars="200"/>
        <w:jc w:val="both"/>
        <w:rPr>
          <w:rFonts w:ascii="宋体" w:hAnsi="宋体" w:cs="宋体"/>
          <w:color w:val="auto"/>
          <w:highlight w:val="none"/>
        </w:rPr>
      </w:pPr>
      <w:r>
        <w:rPr>
          <w:rFonts w:hint="eastAsia" w:ascii="宋体" w:hAnsi="宋体" w:cs="宋体"/>
          <w:b/>
          <w:color w:val="auto"/>
          <w:highlight w:val="none"/>
          <w:lang w:val="en-US" w:eastAsia="zh-CN"/>
        </w:rPr>
        <w:t>7</w:t>
      </w:r>
      <w:r>
        <w:rPr>
          <w:rFonts w:hint="eastAsia" w:ascii="宋体" w:hAnsi="宋体" w:cs="宋体"/>
          <w:b/>
          <w:color w:val="auto"/>
          <w:highlight w:val="none"/>
        </w:rPr>
        <w:t>.比选结束：</w:t>
      </w:r>
      <w:r>
        <w:rPr>
          <w:rFonts w:hint="eastAsia" w:ascii="宋体" w:hAnsi="宋体" w:cs="宋体"/>
          <w:color w:val="auto"/>
          <w:highlight w:val="none"/>
        </w:rPr>
        <w:t>比选小组出具评审报告并复核无误后，比选工作结束。待代理机构工作人员收理好响应文件资料，并发放评审费用后比选专家方可离开评审区。</w:t>
      </w:r>
    </w:p>
    <w:p w14:paraId="2F9715B7">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注：（1）当初步审查结果确定有效比选参与人不足</w:t>
      </w:r>
      <w:r>
        <w:rPr>
          <w:rFonts w:hint="eastAsia" w:ascii="宋体" w:hAnsi="宋体" w:cs="宋体"/>
          <w:color w:val="auto"/>
          <w:highlight w:val="none"/>
          <w:lang w:val="en-US" w:eastAsia="zh-CN"/>
        </w:rPr>
        <w:t>两</w:t>
      </w:r>
      <w:r>
        <w:rPr>
          <w:rFonts w:hint="eastAsia" w:ascii="宋体" w:hAnsi="宋体" w:cs="宋体"/>
          <w:color w:val="auto"/>
          <w:highlight w:val="none"/>
        </w:rPr>
        <w:t>家或出现影响采购公正的违法违规行为，或因重大变故采购任务取消的，或比选文件存在重大歧义、重大缺陷导致评审工作无法进行时，或比选文件内容违反国家有关规定的，评审程序终止。</w:t>
      </w:r>
    </w:p>
    <w:p w14:paraId="3622700E">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（2）比选之后，至成交</w:t>
      </w:r>
      <w:r>
        <w:rPr>
          <w:rFonts w:hint="eastAsia" w:ascii="宋体" w:hAnsi="宋体" w:cs="宋体"/>
          <w:color w:val="auto"/>
          <w:highlight w:val="none"/>
          <w:lang w:val="en-US" w:eastAsia="zh-CN"/>
        </w:rPr>
        <w:t>结果</w:t>
      </w:r>
      <w:r>
        <w:rPr>
          <w:rFonts w:hint="eastAsia" w:ascii="宋体" w:hAnsi="宋体" w:cs="宋体"/>
          <w:color w:val="auto"/>
          <w:highlight w:val="none"/>
        </w:rPr>
        <w:t>发布之前，凡涉及响应文件的澄清、评价、推荐排序等需保密的信息，比选小组成员、</w:t>
      </w:r>
      <w:r>
        <w:rPr>
          <w:rFonts w:hint="eastAsia" w:ascii="宋体" w:hAnsi="宋体" w:cs="宋体"/>
          <w:color w:val="auto"/>
          <w:highlight w:val="none"/>
          <w:lang w:val="en-US" w:eastAsia="zh-CN"/>
        </w:rPr>
        <w:t>采购</w:t>
      </w:r>
      <w:r>
        <w:rPr>
          <w:rFonts w:hint="eastAsia" w:ascii="宋体" w:hAnsi="宋体" w:cs="宋体"/>
          <w:color w:val="auto"/>
          <w:highlight w:val="none"/>
        </w:rPr>
        <w:t>人和招标代理机构等人员均不得向比选参</w:t>
      </w:r>
      <w:r>
        <w:rPr>
          <w:rFonts w:hint="eastAsia" w:ascii="宋体" w:hAnsi="宋体" w:cs="宋体"/>
          <w:color w:val="auto"/>
          <w:highlight w:val="none"/>
          <w:lang w:val="en-US" w:eastAsia="zh-CN"/>
        </w:rPr>
        <w:t>选</w:t>
      </w:r>
      <w:r>
        <w:rPr>
          <w:rFonts w:hint="eastAsia" w:ascii="宋体" w:hAnsi="宋体" w:cs="宋体"/>
          <w:color w:val="auto"/>
          <w:highlight w:val="none"/>
        </w:rPr>
        <w:t>人或其他人员透露。</w:t>
      </w:r>
    </w:p>
    <w:p w14:paraId="47B685EA">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（3）比选过程全程录音录像并存档，以便为纪检监察等有关部门处理项目相关事宜提供资料。</w:t>
      </w:r>
    </w:p>
    <w:p w14:paraId="3CC88169">
      <w:pPr>
        <w:widowControl w:val="0"/>
        <w:shd w:val="clear"/>
        <w:spacing w:line="360" w:lineRule="auto"/>
        <w:ind w:firstLine="480" w:firstLineChars="200"/>
        <w:jc w:val="both"/>
        <w:rPr>
          <w:rFonts w:ascii="黑体" w:hAnsi="黑体" w:eastAsia="黑体" w:cs="黑体"/>
          <w:bCs/>
          <w:color w:val="auto"/>
          <w:highlight w:val="none"/>
        </w:rPr>
      </w:pPr>
      <w:r>
        <w:rPr>
          <w:rFonts w:hint="eastAsia" w:ascii="黑体" w:hAnsi="黑体" w:eastAsia="黑体" w:cs="黑体"/>
          <w:bCs/>
          <w:color w:val="auto"/>
          <w:highlight w:val="none"/>
        </w:rPr>
        <w:t>二、比选小组</w:t>
      </w:r>
    </w:p>
    <w:p w14:paraId="4911A3B4">
      <w:pPr>
        <w:widowControl w:val="0"/>
        <w:shd w:val="clear"/>
        <w:spacing w:line="360" w:lineRule="auto"/>
        <w:ind w:firstLine="480" w:firstLineChars="200"/>
        <w:jc w:val="both"/>
        <w:rPr>
          <w:rFonts w:hint="eastAsia" w:ascii="宋体" w:hAnsi="宋体" w:eastAsia="宋体" w:cs="宋体"/>
          <w:b w:val="0"/>
          <w:color w:val="auto"/>
          <w:highlight w:val="none"/>
        </w:rPr>
      </w:pPr>
      <w:r>
        <w:rPr>
          <w:rFonts w:hint="eastAsia" w:ascii="宋体" w:hAnsi="宋体" w:eastAsia="宋体" w:cs="宋体"/>
          <w:b w:val="0"/>
          <w:color w:val="auto"/>
          <w:highlight w:val="none"/>
        </w:rPr>
        <w:t>比选小组由</w:t>
      </w:r>
      <w:r>
        <w:rPr>
          <w:rFonts w:hint="eastAsia" w:ascii="宋体" w:hAnsi="宋体" w:cs="宋体"/>
          <w:b w:val="0"/>
          <w:color w:val="auto"/>
          <w:highlight w:val="none"/>
          <w:lang w:eastAsia="zh-CN"/>
        </w:rPr>
        <w:t>比选小组</w:t>
      </w:r>
      <w:r>
        <w:rPr>
          <w:rFonts w:hint="eastAsia" w:ascii="宋体" w:hAnsi="宋体" w:eastAsia="宋体" w:cs="宋体"/>
          <w:b w:val="0"/>
          <w:color w:val="auto"/>
          <w:highlight w:val="none"/>
        </w:rPr>
        <w:t>（3人及以上单数）组成。比选小组成员应以科学、公正的态度参加比选的评审工作，在评审过程中不受任何干扰，独立、负责地提出评审意见，并对自己的评审意见承担责任。由招标代理组织的比选工作，比选人派遣的专家不得高于</w:t>
      </w:r>
      <w:r>
        <w:rPr>
          <w:rFonts w:hint="eastAsia" w:ascii="宋体" w:hAnsi="宋体" w:cs="宋体"/>
          <w:b w:val="0"/>
          <w:color w:val="auto"/>
          <w:highlight w:val="none"/>
          <w:lang w:eastAsia="zh-CN"/>
        </w:rPr>
        <w:t>比选小组</w:t>
      </w:r>
      <w:r>
        <w:rPr>
          <w:rFonts w:hint="eastAsia" w:ascii="宋体" w:hAnsi="宋体" w:eastAsia="宋体" w:cs="宋体"/>
          <w:b w:val="0"/>
          <w:color w:val="auto"/>
          <w:highlight w:val="none"/>
        </w:rPr>
        <w:t>人数的三分之一。比选人自行组织的工作，可由比选人派遣具有相关技术技能人员作为</w:t>
      </w:r>
      <w:r>
        <w:rPr>
          <w:rFonts w:hint="eastAsia" w:ascii="宋体" w:hAnsi="宋体" w:cs="宋体"/>
          <w:b w:val="0"/>
          <w:color w:val="auto"/>
          <w:highlight w:val="none"/>
          <w:lang w:eastAsia="zh-CN"/>
        </w:rPr>
        <w:t>比选小组</w:t>
      </w:r>
      <w:r>
        <w:rPr>
          <w:rFonts w:hint="eastAsia" w:ascii="宋体" w:hAnsi="宋体" w:eastAsia="宋体" w:cs="宋体"/>
          <w:b w:val="0"/>
          <w:color w:val="auto"/>
          <w:highlight w:val="none"/>
        </w:rPr>
        <w:t>。</w:t>
      </w:r>
    </w:p>
    <w:p w14:paraId="14FCBAF6">
      <w:pPr>
        <w:widowControl w:val="0"/>
        <w:shd w:val="clear"/>
        <w:spacing w:line="360" w:lineRule="auto"/>
        <w:ind w:firstLine="482" w:firstLineChars="200"/>
        <w:jc w:val="both"/>
        <w:rPr>
          <w:rFonts w:ascii="宋体" w:hAnsi="宋体" w:cs="宋体"/>
          <w:b/>
          <w:color w:val="auto"/>
          <w:highlight w:val="none"/>
        </w:rPr>
      </w:pPr>
      <w:r>
        <w:rPr>
          <w:rFonts w:hint="eastAsia" w:ascii="宋体" w:hAnsi="宋体" w:cs="宋体"/>
          <w:b/>
          <w:color w:val="auto"/>
          <w:highlight w:val="none"/>
        </w:rPr>
        <w:t>1.比选小组在采购活动过程中应当履行下列职责：</w:t>
      </w:r>
    </w:p>
    <w:p w14:paraId="1E221376">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（1）审查比选参与人的响应文件并作出评价；</w:t>
      </w:r>
    </w:p>
    <w:p w14:paraId="327E2603">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（2）要求比选参与人解释或者澄清其响应文件；</w:t>
      </w:r>
    </w:p>
    <w:p w14:paraId="03959B66">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（3）编写评审报告；</w:t>
      </w:r>
    </w:p>
    <w:p w14:paraId="3ADF0D4D">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（4）告知</w:t>
      </w:r>
      <w:r>
        <w:rPr>
          <w:rFonts w:hint="eastAsia" w:ascii="宋体" w:hAnsi="宋体" w:cs="宋体"/>
          <w:color w:val="auto"/>
          <w:highlight w:val="none"/>
          <w:lang w:val="en-US" w:eastAsia="zh-CN"/>
        </w:rPr>
        <w:t>采购</w:t>
      </w:r>
      <w:r>
        <w:rPr>
          <w:rFonts w:hint="eastAsia" w:ascii="宋体" w:hAnsi="宋体" w:cs="宋体"/>
          <w:color w:val="auto"/>
          <w:highlight w:val="none"/>
        </w:rPr>
        <w:t>人、代理机构在评审过程中发现的比选参与人的违法违规行为。</w:t>
      </w:r>
    </w:p>
    <w:p w14:paraId="081C0F33">
      <w:pPr>
        <w:widowControl w:val="0"/>
        <w:shd w:val="clear"/>
        <w:spacing w:line="360" w:lineRule="auto"/>
        <w:ind w:firstLine="482" w:firstLineChars="200"/>
        <w:jc w:val="both"/>
        <w:rPr>
          <w:rFonts w:ascii="宋体" w:hAnsi="宋体" w:cs="宋体"/>
          <w:b/>
          <w:color w:val="auto"/>
          <w:highlight w:val="none"/>
        </w:rPr>
      </w:pPr>
      <w:r>
        <w:rPr>
          <w:rFonts w:hint="eastAsia" w:ascii="宋体" w:hAnsi="宋体" w:cs="宋体"/>
          <w:b/>
          <w:color w:val="auto"/>
          <w:highlight w:val="none"/>
        </w:rPr>
        <w:t>2.比选小组成员应当履行下列义务：</w:t>
      </w:r>
    </w:p>
    <w:p w14:paraId="6BB2947D">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（1）遵纪守法，客观、公正、廉洁地履行职责；</w:t>
      </w:r>
    </w:p>
    <w:p w14:paraId="2E6A3965">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（2）根据比选文件的规定独立进行评审，对个人的评审意见承担法律责任；</w:t>
      </w:r>
    </w:p>
    <w:p w14:paraId="508899DC">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（3）参与评审报告的起草；</w:t>
      </w:r>
    </w:p>
    <w:p w14:paraId="563AF724">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（4）配合</w:t>
      </w:r>
      <w:r>
        <w:rPr>
          <w:rFonts w:hint="eastAsia" w:ascii="宋体" w:hAnsi="宋体" w:cs="宋体"/>
          <w:color w:val="auto"/>
          <w:highlight w:val="none"/>
          <w:lang w:val="en-US" w:eastAsia="zh-CN"/>
        </w:rPr>
        <w:t>采购</w:t>
      </w:r>
      <w:r>
        <w:rPr>
          <w:rFonts w:hint="eastAsia" w:ascii="宋体" w:hAnsi="宋体" w:cs="宋体"/>
          <w:color w:val="auto"/>
          <w:highlight w:val="none"/>
        </w:rPr>
        <w:t>人、代理机构答复比选参与人提出的质疑；</w:t>
      </w:r>
    </w:p>
    <w:p w14:paraId="3BEEB8D2">
      <w:pPr>
        <w:widowControl w:val="0"/>
        <w:shd w:val="clear"/>
        <w:spacing w:line="360" w:lineRule="auto"/>
        <w:ind w:firstLine="480" w:firstLineChars="200"/>
        <w:jc w:val="both"/>
        <w:rPr>
          <w:rFonts w:ascii="宋体" w:hAnsi="宋体" w:cs="宋体"/>
          <w:color w:val="auto"/>
          <w:highlight w:val="none"/>
        </w:rPr>
      </w:pPr>
      <w:r>
        <w:rPr>
          <w:rFonts w:hint="eastAsia" w:ascii="宋体" w:hAnsi="宋体" w:cs="宋体"/>
          <w:color w:val="auto"/>
          <w:highlight w:val="none"/>
        </w:rPr>
        <w:t>（5）配合</w:t>
      </w:r>
      <w:r>
        <w:rPr>
          <w:rFonts w:hint="eastAsia" w:ascii="宋体" w:hAnsi="宋体" w:cs="宋体"/>
          <w:color w:val="auto"/>
          <w:highlight w:val="none"/>
          <w:lang w:val="en-US" w:eastAsia="zh-CN"/>
        </w:rPr>
        <w:t>采购</w:t>
      </w:r>
      <w:r>
        <w:rPr>
          <w:rFonts w:hint="eastAsia" w:ascii="宋体" w:hAnsi="宋体" w:cs="宋体"/>
          <w:color w:val="auto"/>
          <w:highlight w:val="none"/>
        </w:rPr>
        <w:t>人、代理机构的投诉处理和监督检查工作。</w:t>
      </w:r>
    </w:p>
    <w:p w14:paraId="504E3114">
      <w:pPr>
        <w:widowControl w:val="0"/>
        <w:shd w:val="clear"/>
        <w:spacing w:line="360" w:lineRule="auto"/>
        <w:ind w:firstLine="480" w:firstLineChars="200"/>
        <w:jc w:val="both"/>
        <w:rPr>
          <w:rFonts w:ascii="黑体" w:hAnsi="黑体" w:eastAsia="黑体" w:cs="黑体"/>
          <w:bCs/>
          <w:color w:val="auto"/>
          <w:highlight w:val="none"/>
        </w:rPr>
      </w:pPr>
      <w:r>
        <w:rPr>
          <w:rFonts w:hint="eastAsia" w:ascii="黑体" w:hAnsi="黑体" w:eastAsia="黑体" w:cs="黑体"/>
          <w:bCs/>
          <w:color w:val="auto"/>
          <w:highlight w:val="none"/>
        </w:rPr>
        <w:t>三、询标与澄清</w:t>
      </w:r>
    </w:p>
    <w:p w14:paraId="150CD5C6">
      <w:pPr>
        <w:widowControl w:val="0"/>
        <w:shd w:val="clear"/>
        <w:spacing w:line="360" w:lineRule="auto"/>
        <w:ind w:firstLine="491" w:firstLineChars="205"/>
        <w:rPr>
          <w:rFonts w:ascii="宋体" w:hAnsi="宋体" w:cs="宋体"/>
          <w:color w:val="auto"/>
          <w:highlight w:val="none"/>
        </w:rPr>
      </w:pPr>
      <w:r>
        <w:rPr>
          <w:rFonts w:hint="eastAsia" w:ascii="宋体" w:hAnsi="宋体" w:cs="宋体"/>
          <w:color w:val="auto"/>
          <w:highlight w:val="none"/>
        </w:rPr>
        <w:t>（一）评审过程中，比选小组发现响应文件存在含义不明、表述不清、有歧义等情况，实质性影响评审结果的，比选小组可书面向比选参与人进行询问，要求比选参与人对询问的问题进行澄清。比选参与人须在比选代理机构通知的时间内进行书面答疑和澄清。比选参与人未在通知的时间内进行答疑和澄清的，视为放弃澄清。</w:t>
      </w:r>
    </w:p>
    <w:p w14:paraId="34349E4F">
      <w:pPr>
        <w:widowControl w:val="0"/>
        <w:shd w:val="clear"/>
        <w:spacing w:line="360" w:lineRule="auto"/>
        <w:ind w:firstLine="491" w:firstLineChars="205"/>
        <w:rPr>
          <w:rFonts w:ascii="宋体" w:hAnsi="宋体" w:cs="宋体"/>
          <w:color w:val="auto"/>
          <w:highlight w:val="none"/>
        </w:rPr>
      </w:pPr>
      <w:r>
        <w:rPr>
          <w:rFonts w:hint="eastAsia" w:ascii="宋体" w:hAnsi="宋体" w:cs="宋体"/>
          <w:color w:val="auto"/>
          <w:highlight w:val="none"/>
        </w:rPr>
        <w:t>（二）比选参与人的答疑和澄清须为书面形式，须由比选参与人签字或加盖比选参与人公章。书面澄清文件为响应文件的组成部分。</w:t>
      </w:r>
    </w:p>
    <w:p w14:paraId="45DB5467">
      <w:pPr>
        <w:widowControl w:val="0"/>
        <w:shd w:val="clear"/>
        <w:spacing w:line="360" w:lineRule="auto"/>
        <w:ind w:firstLine="491" w:firstLineChars="205"/>
        <w:rPr>
          <w:rFonts w:ascii="宋体" w:hAnsi="宋体" w:cs="宋体"/>
          <w:color w:val="auto"/>
          <w:highlight w:val="none"/>
        </w:rPr>
      </w:pPr>
      <w:r>
        <w:rPr>
          <w:rFonts w:hint="eastAsia" w:ascii="宋体" w:hAnsi="宋体" w:cs="宋体"/>
          <w:color w:val="auto"/>
          <w:highlight w:val="none"/>
        </w:rPr>
        <w:t>（三）比选参与人对响应文件的澄清不得超出响应文件的范围或改变响应报价等实质性内容。澄清和补正应遵循公平公正的原则，比选参与人的澄清补正不得对其他比选参与人造成不公平不公正的结果或影响，如有，比选小组应拒绝其澄清。</w:t>
      </w:r>
    </w:p>
    <w:p w14:paraId="394B9968">
      <w:pPr>
        <w:widowControl w:val="0"/>
        <w:shd w:val="clear"/>
        <w:spacing w:line="360" w:lineRule="auto"/>
        <w:ind w:firstLine="480" w:firstLineChars="200"/>
        <w:jc w:val="both"/>
        <w:rPr>
          <w:rFonts w:ascii="黑体" w:hAnsi="黑体" w:eastAsia="黑体" w:cs="黑体"/>
          <w:bCs/>
          <w:color w:val="auto"/>
          <w:highlight w:val="none"/>
        </w:rPr>
      </w:pPr>
      <w:r>
        <w:rPr>
          <w:rFonts w:hint="eastAsia" w:ascii="黑体" w:hAnsi="黑体" w:eastAsia="黑体" w:cs="黑体"/>
          <w:bCs/>
          <w:color w:val="auto"/>
          <w:highlight w:val="none"/>
        </w:rPr>
        <w:t>四、评审结果确定</w:t>
      </w:r>
    </w:p>
    <w:p w14:paraId="23694A4C">
      <w:pPr>
        <w:widowControl w:val="0"/>
        <w:shd w:val="clear"/>
        <w:spacing w:line="360" w:lineRule="auto"/>
        <w:ind w:firstLine="491" w:firstLineChars="205"/>
        <w:rPr>
          <w:rFonts w:ascii="宋体" w:hAnsi="宋体" w:cs="宋体"/>
          <w:color w:val="auto"/>
          <w:highlight w:val="none"/>
        </w:rPr>
      </w:pPr>
      <w:r>
        <w:rPr>
          <w:rFonts w:hint="eastAsia" w:ascii="宋体" w:hAnsi="宋体" w:cs="宋体"/>
          <w:color w:val="auto"/>
          <w:highlight w:val="none"/>
        </w:rPr>
        <w:t>有代理机构的，代理机构应当在评审结束后2个工作日内将评审报告呈报</w:t>
      </w:r>
      <w:r>
        <w:rPr>
          <w:rFonts w:hint="eastAsia" w:ascii="宋体" w:hAnsi="宋体" w:cs="宋体"/>
          <w:color w:val="auto"/>
          <w:highlight w:val="none"/>
          <w:lang w:val="en-US" w:eastAsia="zh-CN"/>
        </w:rPr>
        <w:t>采购</w:t>
      </w:r>
      <w:r>
        <w:rPr>
          <w:rFonts w:hint="eastAsia" w:ascii="宋体" w:hAnsi="宋体" w:cs="宋体"/>
          <w:color w:val="auto"/>
          <w:highlight w:val="none"/>
        </w:rPr>
        <w:t>人。</w:t>
      </w:r>
    </w:p>
    <w:p w14:paraId="7A15677D">
      <w:pPr>
        <w:pStyle w:val="12"/>
        <w:shd w:val="clear"/>
        <w:spacing w:line="360" w:lineRule="auto"/>
        <w:ind w:firstLine="480"/>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人</w:t>
      </w:r>
      <w:r>
        <w:rPr>
          <w:rFonts w:hint="eastAsia" w:ascii="宋体" w:hAnsi="宋体" w:eastAsia="宋体" w:cs="宋体"/>
          <w:color w:val="auto"/>
          <w:kern w:val="0"/>
          <w:sz w:val="24"/>
          <w:highlight w:val="none"/>
        </w:rPr>
        <w:t>自行组织比选的，</w:t>
      </w:r>
      <w:r>
        <w:rPr>
          <w:rFonts w:hint="eastAsia" w:ascii="宋体" w:hAnsi="宋体" w:eastAsia="宋体" w:cs="宋体"/>
          <w:color w:val="auto"/>
          <w:kern w:val="0"/>
          <w:sz w:val="24"/>
          <w:highlight w:val="none"/>
          <w:lang w:val="en-US" w:eastAsia="zh-CN"/>
        </w:rPr>
        <w:t>采购</w:t>
      </w:r>
      <w:r>
        <w:rPr>
          <w:rFonts w:hint="eastAsia" w:ascii="宋体" w:hAnsi="宋体" w:eastAsia="宋体" w:cs="宋体"/>
          <w:color w:val="auto"/>
          <w:kern w:val="0"/>
          <w:sz w:val="24"/>
          <w:highlight w:val="none"/>
        </w:rPr>
        <w:t>人相关工作人员应当在评审结束后2个工作日内将完成的评审报告报相关部门。</w:t>
      </w:r>
    </w:p>
    <w:p w14:paraId="7E7B44D6">
      <w:pPr>
        <w:widowControl w:val="0"/>
        <w:shd w:val="clear"/>
        <w:spacing w:line="360" w:lineRule="auto"/>
        <w:ind w:firstLine="491" w:firstLineChars="205"/>
        <w:rPr>
          <w:rFonts w:ascii="宋体" w:hAnsi="宋体" w:cs="宋体"/>
          <w:color w:val="auto"/>
          <w:highlight w:val="none"/>
        </w:rPr>
      </w:pPr>
      <w:r>
        <w:rPr>
          <w:rFonts w:hint="eastAsia" w:ascii="宋体" w:hAnsi="宋体" w:cs="宋体"/>
          <w:color w:val="auto"/>
          <w:highlight w:val="none"/>
          <w:lang w:val="en-US" w:eastAsia="zh-CN"/>
        </w:rPr>
        <w:t>采购</w:t>
      </w:r>
      <w:r>
        <w:rPr>
          <w:rFonts w:hint="eastAsia" w:ascii="宋体" w:hAnsi="宋体" w:cs="宋体"/>
          <w:color w:val="auto"/>
          <w:highlight w:val="none"/>
        </w:rPr>
        <w:t>人在评审报告确定的</w:t>
      </w:r>
      <w:r>
        <w:rPr>
          <w:rFonts w:hint="eastAsia" w:ascii="宋体" w:hAnsi="宋体" w:cs="宋体"/>
          <w:color w:val="auto"/>
          <w:highlight w:val="none"/>
          <w:lang w:eastAsia="zh-CN"/>
        </w:rPr>
        <w:t>成交</w:t>
      </w:r>
      <w:r>
        <w:rPr>
          <w:rFonts w:hint="eastAsia" w:ascii="宋体" w:hAnsi="宋体" w:cs="宋体"/>
          <w:color w:val="auto"/>
          <w:highlight w:val="none"/>
        </w:rPr>
        <w:t>候选人名单中确定</w:t>
      </w:r>
      <w:r>
        <w:rPr>
          <w:rFonts w:hint="eastAsia" w:ascii="宋体" w:hAnsi="宋体" w:cs="宋体"/>
          <w:color w:val="auto"/>
          <w:highlight w:val="none"/>
          <w:lang w:eastAsia="zh-CN"/>
        </w:rPr>
        <w:t>成交</w:t>
      </w:r>
      <w:r>
        <w:rPr>
          <w:rFonts w:hint="eastAsia" w:ascii="宋体" w:hAnsi="宋体" w:cs="宋体"/>
          <w:color w:val="auto"/>
          <w:highlight w:val="none"/>
        </w:rPr>
        <w:t>人。</w:t>
      </w:r>
      <w:r>
        <w:rPr>
          <w:rFonts w:hint="eastAsia" w:ascii="宋体" w:hAnsi="宋体" w:cs="宋体"/>
          <w:color w:val="auto"/>
          <w:highlight w:val="none"/>
          <w:lang w:eastAsia="zh-CN"/>
        </w:rPr>
        <w:t>成交</w:t>
      </w:r>
      <w:r>
        <w:rPr>
          <w:rFonts w:hint="eastAsia" w:ascii="宋体" w:hAnsi="宋体" w:cs="宋体"/>
          <w:color w:val="auto"/>
          <w:highlight w:val="none"/>
        </w:rPr>
        <w:t>候选人并列的，由</w:t>
      </w:r>
      <w:r>
        <w:rPr>
          <w:rFonts w:hint="eastAsia" w:ascii="宋体" w:hAnsi="宋体" w:cs="宋体"/>
          <w:color w:val="auto"/>
          <w:highlight w:val="none"/>
          <w:lang w:val="en-US" w:eastAsia="zh-CN"/>
        </w:rPr>
        <w:t>采购</w:t>
      </w:r>
      <w:r>
        <w:rPr>
          <w:rFonts w:hint="eastAsia" w:ascii="宋体" w:hAnsi="宋体" w:cs="宋体"/>
          <w:color w:val="auto"/>
          <w:highlight w:val="none"/>
        </w:rPr>
        <w:t>人或者</w:t>
      </w:r>
      <w:r>
        <w:rPr>
          <w:rFonts w:hint="eastAsia" w:ascii="宋体" w:hAnsi="宋体" w:cs="宋体"/>
          <w:color w:val="auto"/>
          <w:highlight w:val="none"/>
          <w:lang w:val="en-US" w:eastAsia="zh-CN"/>
        </w:rPr>
        <w:t>采购</w:t>
      </w:r>
      <w:r>
        <w:rPr>
          <w:rFonts w:hint="eastAsia" w:ascii="宋体" w:hAnsi="宋体" w:cs="宋体"/>
          <w:color w:val="auto"/>
          <w:highlight w:val="none"/>
        </w:rPr>
        <w:t>人委托比选小组按照比选文件规定的方式确定</w:t>
      </w:r>
      <w:r>
        <w:rPr>
          <w:rFonts w:hint="eastAsia" w:ascii="宋体" w:hAnsi="宋体" w:cs="宋体"/>
          <w:color w:val="auto"/>
          <w:highlight w:val="none"/>
          <w:lang w:eastAsia="zh-CN"/>
        </w:rPr>
        <w:t>成交</w:t>
      </w:r>
      <w:r>
        <w:rPr>
          <w:rFonts w:hint="eastAsia" w:ascii="宋体" w:hAnsi="宋体" w:cs="宋体"/>
          <w:color w:val="auto"/>
          <w:highlight w:val="none"/>
        </w:rPr>
        <w:t>人。</w:t>
      </w:r>
    </w:p>
    <w:p w14:paraId="2CF3E2D1">
      <w:pPr>
        <w:shd w:val="clear"/>
        <w:spacing w:beforeLines="100" w:afterLines="50" w:line="360" w:lineRule="auto"/>
        <w:ind w:left="480" w:leftChars="200" w:firstLine="12" w:firstLineChars="5"/>
        <w:rPr>
          <w:rFonts w:ascii="宋体" w:hAnsi="宋体" w:cs="宋体"/>
          <w:color w:val="auto"/>
          <w:highlight w:val="none"/>
        </w:rPr>
      </w:pPr>
      <w:bookmarkStart w:id="128" w:name="_Toc406671115"/>
      <w:bookmarkStart w:id="129" w:name="_Toc406670744"/>
      <w:bookmarkStart w:id="130" w:name="_Toc406671703"/>
      <w:bookmarkStart w:id="131" w:name="_Toc406672406"/>
    </w:p>
    <w:p w14:paraId="50CB1E77">
      <w:pPr>
        <w:pStyle w:val="4"/>
        <w:shd w:val="clear"/>
        <w:spacing w:line="360" w:lineRule="auto"/>
        <w:rPr>
          <w:rFonts w:ascii="宋体" w:hAnsi="宋体" w:eastAsia="宋体" w:cs="宋体"/>
          <w:b/>
          <w:color w:val="auto"/>
          <w:sz w:val="28"/>
          <w:szCs w:val="28"/>
          <w:highlight w:val="none"/>
        </w:rPr>
      </w:pPr>
      <w:bookmarkStart w:id="132" w:name="_Toc9032825"/>
      <w:bookmarkStart w:id="133" w:name="_Toc4044"/>
      <w:bookmarkStart w:id="134" w:name="_Toc95128219"/>
      <w:bookmarkStart w:id="135" w:name="_Toc13648916"/>
      <w:bookmarkStart w:id="136" w:name="_Toc24056"/>
      <w:r>
        <w:rPr>
          <w:rFonts w:hint="eastAsia" w:ascii="宋体" w:hAnsi="宋体" w:eastAsia="宋体" w:cs="宋体"/>
          <w:b/>
          <w:color w:val="auto"/>
          <w:sz w:val="28"/>
          <w:szCs w:val="28"/>
          <w:highlight w:val="none"/>
        </w:rPr>
        <w:t>第六节 签订服务合同</w:t>
      </w:r>
      <w:bookmarkEnd w:id="132"/>
      <w:bookmarkEnd w:id="133"/>
      <w:bookmarkEnd w:id="134"/>
      <w:bookmarkEnd w:id="135"/>
      <w:bookmarkEnd w:id="136"/>
    </w:p>
    <w:p w14:paraId="0BED60FE">
      <w:pPr>
        <w:widowControl w:val="0"/>
        <w:shd w:val="clear"/>
        <w:spacing w:line="360" w:lineRule="auto"/>
        <w:ind w:firstLine="480" w:firstLineChars="200"/>
        <w:rPr>
          <w:rFonts w:ascii="宋体" w:hAnsi="宋体" w:cs="宋体"/>
          <w:color w:val="auto"/>
          <w:highlight w:val="none"/>
        </w:rPr>
      </w:pPr>
      <w:r>
        <w:rPr>
          <w:rFonts w:hint="eastAsia" w:ascii="宋体" w:hAnsi="宋体" w:cs="宋体"/>
          <w:color w:val="auto"/>
          <w:highlight w:val="none"/>
        </w:rPr>
        <w:t>《</w:t>
      </w:r>
      <w:r>
        <w:rPr>
          <w:rFonts w:hint="eastAsia" w:ascii="宋体" w:hAnsi="宋体" w:cs="宋体"/>
          <w:color w:val="auto"/>
          <w:highlight w:val="none"/>
          <w:lang w:eastAsia="zh-CN"/>
        </w:rPr>
        <w:t>成交</w:t>
      </w:r>
      <w:r>
        <w:rPr>
          <w:rFonts w:hint="eastAsia" w:ascii="宋体" w:hAnsi="宋体" w:cs="宋体"/>
          <w:color w:val="auto"/>
          <w:highlight w:val="none"/>
        </w:rPr>
        <w:t>通知书》发出之日起十日内，中选人拒绝与</w:t>
      </w:r>
      <w:r>
        <w:rPr>
          <w:rFonts w:hint="eastAsia" w:ascii="宋体" w:hAnsi="宋体" w:cs="宋体"/>
          <w:color w:val="auto"/>
          <w:highlight w:val="none"/>
          <w:lang w:val="en-US" w:eastAsia="zh-CN"/>
        </w:rPr>
        <w:t>采购</w:t>
      </w:r>
      <w:r>
        <w:rPr>
          <w:rFonts w:hint="eastAsia" w:ascii="宋体" w:hAnsi="宋体" w:cs="宋体"/>
          <w:color w:val="auto"/>
          <w:highlight w:val="none"/>
        </w:rPr>
        <w:t>人签订合同的，</w:t>
      </w:r>
      <w:r>
        <w:rPr>
          <w:rFonts w:hint="eastAsia" w:ascii="宋体" w:hAnsi="宋体" w:cs="宋体"/>
          <w:color w:val="auto"/>
          <w:highlight w:val="none"/>
          <w:lang w:val="en-US" w:eastAsia="zh-CN"/>
        </w:rPr>
        <w:t>采购</w:t>
      </w:r>
      <w:r>
        <w:rPr>
          <w:rFonts w:hint="eastAsia" w:ascii="宋体" w:hAnsi="宋体" w:cs="宋体"/>
          <w:color w:val="auto"/>
          <w:highlight w:val="none"/>
        </w:rPr>
        <w:t>人可以按照评审报告推荐的中选候选人名单排序，确定下一候选人为中选人，也可以重新开展比选活动。</w:t>
      </w:r>
    </w:p>
    <w:p w14:paraId="28F9EC9F">
      <w:pPr>
        <w:shd w:val="clear"/>
        <w:spacing w:line="360" w:lineRule="auto"/>
        <w:rPr>
          <w:rFonts w:ascii="宋体" w:hAnsi="宋体" w:cs="宋体"/>
          <w:b/>
          <w:color w:val="auto"/>
          <w:highlight w:val="none"/>
        </w:rPr>
      </w:pPr>
      <w:r>
        <w:rPr>
          <w:color w:val="auto"/>
          <w:highlight w:val="none"/>
        </w:rPr>
        <w:br w:type="page"/>
      </w:r>
      <w:bookmarkEnd w:id="128"/>
      <w:bookmarkEnd w:id="129"/>
      <w:bookmarkEnd w:id="130"/>
      <w:bookmarkEnd w:id="131"/>
      <w:bookmarkStart w:id="137" w:name="_Toc406671142"/>
      <w:bookmarkStart w:id="138" w:name="_Toc406670771"/>
      <w:bookmarkStart w:id="139" w:name="_Toc406672410"/>
      <w:bookmarkStart w:id="140" w:name="_Toc406671714"/>
    </w:p>
    <w:p w14:paraId="6DAF32C1">
      <w:pPr>
        <w:pStyle w:val="3"/>
        <w:shd w:val="clear"/>
        <w:rPr>
          <w:rFonts w:ascii="宋体" w:hAnsi="宋体" w:eastAsia="宋体" w:cs="宋体"/>
          <w:b/>
          <w:highlight w:val="none"/>
        </w:rPr>
      </w:pPr>
      <w:bookmarkStart w:id="141" w:name="_Toc21222"/>
      <w:bookmarkStart w:id="142" w:name="_Toc9835"/>
      <w:bookmarkStart w:id="143" w:name="_Toc16383"/>
      <w:bookmarkStart w:id="144" w:name="_Toc95128232"/>
      <w:r>
        <w:rPr>
          <w:rFonts w:hint="eastAsia" w:ascii="宋体" w:hAnsi="宋体" w:eastAsia="宋体" w:cs="宋体"/>
          <w:b/>
          <w:highlight w:val="none"/>
        </w:rPr>
        <w:t>第五章  合同条款</w:t>
      </w:r>
      <w:bookmarkEnd w:id="141"/>
      <w:bookmarkEnd w:id="142"/>
      <w:bookmarkEnd w:id="143"/>
    </w:p>
    <w:p w14:paraId="7E5619D6">
      <w:pPr>
        <w:pStyle w:val="30"/>
        <w:shd w:val="clear"/>
        <w:spacing w:line="360" w:lineRule="auto"/>
        <w:jc w:val="center"/>
        <w:rPr>
          <w:rFonts w:hint="default" w:cs="宋体"/>
          <w:b/>
          <w:highlight w:val="none"/>
        </w:rPr>
      </w:pPr>
      <w:bookmarkStart w:id="145" w:name="_Toc417562393"/>
      <w:bookmarkStart w:id="146" w:name="_Toc437426693"/>
    </w:p>
    <w:p w14:paraId="23890EA2">
      <w:pPr>
        <w:pStyle w:val="30"/>
        <w:shd w:val="clear"/>
        <w:spacing w:line="360" w:lineRule="auto"/>
        <w:jc w:val="center"/>
        <w:rPr>
          <w:rFonts w:hint="default" w:cs="宋体"/>
          <w:b/>
          <w:bCs/>
          <w:sz w:val="32"/>
          <w:szCs w:val="32"/>
          <w:highlight w:val="none"/>
        </w:rPr>
      </w:pPr>
      <w:r>
        <w:rPr>
          <w:rFonts w:cs="宋体"/>
          <w:b/>
          <w:highlight w:val="none"/>
        </w:rPr>
        <w:t>(仅供参考，以最终签订合同为准)</w:t>
      </w:r>
      <w:bookmarkEnd w:id="145"/>
      <w:bookmarkEnd w:id="146"/>
      <w:bookmarkStart w:id="147" w:name="_Hlk498507949"/>
    </w:p>
    <w:bookmarkEnd w:id="147"/>
    <w:p w14:paraId="1E12BA78">
      <w:pPr>
        <w:pStyle w:val="19"/>
        <w:shd w:val="clear"/>
        <w:spacing w:line="440" w:lineRule="exact"/>
        <w:rPr>
          <w:rFonts w:hAnsi="宋体" w:cs="宋体"/>
          <w:sz w:val="24"/>
          <w:szCs w:val="24"/>
          <w:highlight w:val="none"/>
        </w:rPr>
      </w:pPr>
      <w:r>
        <w:rPr>
          <w:rFonts w:hint="eastAsia" w:hAnsi="宋体" w:cs="宋体"/>
          <w:sz w:val="24"/>
          <w:szCs w:val="24"/>
          <w:highlight w:val="none"/>
        </w:rPr>
        <w:t>甲方：（采购人全称）</w:t>
      </w:r>
    </w:p>
    <w:p w14:paraId="0AD3D934">
      <w:pPr>
        <w:pStyle w:val="19"/>
        <w:shd w:val="clear"/>
        <w:spacing w:line="440" w:lineRule="exact"/>
        <w:rPr>
          <w:rFonts w:hAnsi="宋体" w:cs="宋体"/>
          <w:sz w:val="24"/>
          <w:szCs w:val="24"/>
          <w:highlight w:val="none"/>
        </w:rPr>
      </w:pPr>
      <w:r>
        <w:rPr>
          <w:rFonts w:hint="eastAsia" w:hAnsi="宋体" w:cs="宋体"/>
          <w:sz w:val="24"/>
          <w:szCs w:val="24"/>
          <w:highlight w:val="none"/>
        </w:rPr>
        <w:t>乙方：（供应商全称）</w:t>
      </w:r>
    </w:p>
    <w:p w14:paraId="1BF2F0CC">
      <w:pPr>
        <w:pStyle w:val="19"/>
        <w:shd w:val="clear"/>
        <w:spacing w:line="440" w:lineRule="exact"/>
        <w:ind w:firstLine="480"/>
        <w:rPr>
          <w:rFonts w:hAnsi="宋体" w:cs="宋体"/>
          <w:sz w:val="24"/>
          <w:szCs w:val="24"/>
          <w:highlight w:val="none"/>
        </w:rPr>
      </w:pPr>
      <w:r>
        <w:rPr>
          <w:rFonts w:hint="eastAsia" w:hAnsi="宋体" w:cs="宋体"/>
          <w:sz w:val="24"/>
          <w:szCs w:val="24"/>
          <w:highlight w:val="none"/>
        </w:rPr>
        <w:t xml:space="preserve">    甲、乙双方根据</w:t>
      </w:r>
      <w:r>
        <w:rPr>
          <w:rFonts w:hint="eastAsia" w:hAnsi="宋体" w:cs="宋体"/>
          <w:sz w:val="24"/>
          <w:szCs w:val="24"/>
          <w:highlight w:val="none"/>
          <w:u w:val="single"/>
        </w:rPr>
        <w:t xml:space="preserve">     项目名称       </w:t>
      </w:r>
      <w:r>
        <w:rPr>
          <w:rFonts w:hint="eastAsia" w:hAnsi="宋体" w:cs="宋体"/>
          <w:sz w:val="24"/>
          <w:szCs w:val="24"/>
          <w:highlight w:val="none"/>
        </w:rPr>
        <w:t>项目的结果，甲方接受乙方为本项目的供应商。甲乙双方根据本项目</w:t>
      </w:r>
      <w:r>
        <w:rPr>
          <w:rFonts w:hint="eastAsia" w:hAnsi="宋体" w:cs="宋体"/>
          <w:sz w:val="24"/>
          <w:szCs w:val="24"/>
          <w:highlight w:val="none"/>
          <w:lang w:val="en-US" w:eastAsia="zh-CN"/>
        </w:rPr>
        <w:t>比选</w:t>
      </w:r>
      <w:r>
        <w:rPr>
          <w:rFonts w:hint="eastAsia" w:hAnsi="宋体" w:cs="宋体"/>
          <w:sz w:val="24"/>
          <w:szCs w:val="24"/>
          <w:highlight w:val="none"/>
        </w:rPr>
        <w:t>文件、响应文件及招响应过程中确定的有关内容，签署本合同。</w:t>
      </w:r>
    </w:p>
    <w:p w14:paraId="4C60B0E0">
      <w:pPr>
        <w:shd w:val="clear"/>
        <w:spacing w:line="440" w:lineRule="exact"/>
        <w:ind w:firstLine="482"/>
        <w:rPr>
          <w:rFonts w:ascii="宋体" w:hAnsi="宋体" w:cs="宋体"/>
          <w:b/>
          <w:highlight w:val="none"/>
        </w:rPr>
      </w:pPr>
      <w:r>
        <w:rPr>
          <w:rFonts w:hint="eastAsia" w:ascii="宋体" w:hAnsi="宋体" w:cs="宋体"/>
          <w:b/>
          <w:highlight w:val="none"/>
        </w:rPr>
        <w:t>一、合同金额</w:t>
      </w:r>
    </w:p>
    <w:p w14:paraId="36BAA9E6">
      <w:pPr>
        <w:pStyle w:val="19"/>
        <w:shd w:val="clear"/>
        <w:spacing w:line="440" w:lineRule="exact"/>
        <w:ind w:firstLine="480"/>
        <w:rPr>
          <w:rFonts w:hAnsi="宋体" w:cs="宋体"/>
          <w:sz w:val="24"/>
          <w:szCs w:val="24"/>
          <w:highlight w:val="none"/>
        </w:rPr>
      </w:pPr>
      <w:r>
        <w:rPr>
          <w:rFonts w:hint="eastAsia" w:hAnsi="宋体" w:cs="宋体"/>
          <w:sz w:val="24"/>
          <w:szCs w:val="24"/>
          <w:highlight w:val="none"/>
        </w:rPr>
        <w:t>合同金额为（大写）：_________________元（￥_______________元）人民币。</w:t>
      </w:r>
    </w:p>
    <w:p w14:paraId="6272CC21">
      <w:pPr>
        <w:pStyle w:val="19"/>
        <w:shd w:val="clear"/>
        <w:spacing w:line="440" w:lineRule="exact"/>
        <w:ind w:firstLine="480"/>
        <w:rPr>
          <w:rFonts w:hAnsi="宋体" w:cs="宋体"/>
          <w:b/>
          <w:sz w:val="24"/>
          <w:szCs w:val="24"/>
          <w:highlight w:val="none"/>
        </w:rPr>
      </w:pPr>
      <w:r>
        <w:rPr>
          <w:rFonts w:hint="eastAsia" w:hAnsi="宋体" w:cs="宋体"/>
          <w:sz w:val="24"/>
          <w:szCs w:val="24"/>
          <w:highlight w:val="none"/>
        </w:rPr>
        <w:t>二、</w:t>
      </w:r>
      <w:r>
        <w:rPr>
          <w:rFonts w:hint="eastAsia" w:hAnsi="宋体" w:cs="宋体"/>
          <w:b/>
          <w:sz w:val="24"/>
          <w:szCs w:val="24"/>
          <w:highlight w:val="none"/>
        </w:rPr>
        <w:t>服务范围</w:t>
      </w:r>
    </w:p>
    <w:p w14:paraId="2EAEB468">
      <w:pPr>
        <w:shd w:val="clear"/>
        <w:spacing w:line="440" w:lineRule="exact"/>
        <w:ind w:firstLine="480"/>
        <w:rPr>
          <w:rFonts w:ascii="宋体" w:hAnsi="宋体" w:cs="宋体"/>
          <w:highlight w:val="none"/>
        </w:rPr>
      </w:pPr>
      <w:r>
        <w:rPr>
          <w:rFonts w:hint="eastAsia" w:ascii="宋体" w:hAnsi="宋体" w:cs="宋体"/>
          <w:highlight w:val="none"/>
        </w:rPr>
        <w:t>　　甲方聘请乙方提供以下服务：</w:t>
      </w:r>
    </w:p>
    <w:p w14:paraId="7C5AB338">
      <w:pPr>
        <w:shd w:val="clear"/>
        <w:spacing w:line="440" w:lineRule="exact"/>
        <w:ind w:firstLine="480"/>
        <w:rPr>
          <w:rFonts w:ascii="宋体" w:hAnsi="宋体" w:cs="宋体"/>
          <w:highlight w:val="none"/>
          <w:u w:val="single"/>
        </w:rPr>
      </w:pPr>
      <w:r>
        <w:rPr>
          <w:rFonts w:hint="eastAsia" w:ascii="宋体" w:hAnsi="宋体" w:cs="宋体"/>
          <w:highlight w:val="none"/>
        </w:rPr>
        <w:t>　　1．本合同项下的服务指。</w:t>
      </w:r>
    </w:p>
    <w:p w14:paraId="22848F97">
      <w:pPr>
        <w:shd w:val="clear"/>
        <w:spacing w:line="440" w:lineRule="exact"/>
        <w:ind w:firstLine="480"/>
        <w:rPr>
          <w:rFonts w:ascii="宋体" w:hAnsi="宋体" w:cs="宋体"/>
          <w:highlight w:val="none"/>
        </w:rPr>
      </w:pPr>
      <w:r>
        <w:rPr>
          <w:rFonts w:hint="eastAsia" w:ascii="宋体" w:hAnsi="宋体" w:cs="宋体"/>
          <w:highlight w:val="none"/>
        </w:rPr>
        <w:t>　　2．......</w:t>
      </w:r>
    </w:p>
    <w:p w14:paraId="0E7BE27B">
      <w:pPr>
        <w:shd w:val="clear"/>
        <w:spacing w:line="440" w:lineRule="exact"/>
        <w:ind w:firstLine="960" w:firstLineChars="400"/>
        <w:rPr>
          <w:rFonts w:ascii="宋体" w:hAnsi="宋体" w:cs="宋体"/>
          <w:highlight w:val="none"/>
        </w:rPr>
      </w:pPr>
      <w:r>
        <w:rPr>
          <w:rFonts w:hint="eastAsia" w:ascii="宋体" w:hAnsi="宋体" w:cs="宋体"/>
          <w:highlight w:val="none"/>
        </w:rPr>
        <w:t>3. ......</w:t>
      </w:r>
    </w:p>
    <w:p w14:paraId="482DCF15">
      <w:pPr>
        <w:shd w:val="clear"/>
        <w:spacing w:line="440" w:lineRule="exact"/>
        <w:ind w:firstLine="482"/>
        <w:rPr>
          <w:rFonts w:ascii="宋体" w:hAnsi="宋体" w:cs="宋体"/>
          <w:b/>
          <w:highlight w:val="none"/>
        </w:rPr>
      </w:pPr>
      <w:r>
        <w:rPr>
          <w:rFonts w:hint="eastAsia" w:ascii="宋体" w:hAnsi="宋体" w:cs="宋体"/>
          <w:b/>
          <w:highlight w:val="none"/>
        </w:rPr>
        <w:t>三、服务质量要求</w:t>
      </w:r>
    </w:p>
    <w:p w14:paraId="7D543EAB">
      <w:pPr>
        <w:shd w:val="clear"/>
        <w:spacing w:line="440" w:lineRule="exact"/>
        <w:ind w:firstLine="482"/>
        <w:rPr>
          <w:rFonts w:ascii="宋体" w:hAnsi="宋体" w:cs="宋体"/>
          <w:b/>
          <w:highlight w:val="none"/>
        </w:rPr>
      </w:pPr>
      <w:r>
        <w:rPr>
          <w:rFonts w:hint="eastAsia" w:ascii="宋体" w:hAnsi="宋体" w:cs="宋体"/>
          <w:b/>
          <w:highlight w:val="none"/>
        </w:rPr>
        <w:t>四、甲方乙方的权利和义务</w:t>
      </w:r>
    </w:p>
    <w:p w14:paraId="577BFD5C">
      <w:pPr>
        <w:shd w:val="clear"/>
        <w:spacing w:line="440" w:lineRule="exact"/>
        <w:ind w:firstLine="482"/>
        <w:rPr>
          <w:rFonts w:ascii="宋体" w:hAnsi="宋体" w:cs="宋体"/>
          <w:b/>
          <w:highlight w:val="none"/>
        </w:rPr>
      </w:pPr>
      <w:r>
        <w:rPr>
          <w:rFonts w:hint="eastAsia" w:ascii="宋体" w:hAnsi="宋体" w:cs="宋体"/>
          <w:b/>
          <w:highlight w:val="none"/>
        </w:rPr>
        <w:t>（一）</w:t>
      </w:r>
      <w:r>
        <w:rPr>
          <w:rFonts w:hint="eastAsia" w:ascii="宋体" w:hAnsi="宋体" w:cs="宋体"/>
          <w:highlight w:val="none"/>
        </w:rPr>
        <w:t xml:space="preserve"> 甲方的权利和义务</w:t>
      </w:r>
    </w:p>
    <w:p w14:paraId="40A6A829">
      <w:pPr>
        <w:shd w:val="clear"/>
        <w:spacing w:line="440" w:lineRule="exact"/>
        <w:ind w:firstLine="480" w:firstLineChars="200"/>
        <w:jc w:val="both"/>
        <w:rPr>
          <w:rFonts w:ascii="宋体" w:hAnsi="宋体" w:cs="宋体"/>
          <w:highlight w:val="none"/>
        </w:rPr>
      </w:pPr>
      <w:r>
        <w:rPr>
          <w:rFonts w:hint="eastAsia" w:ascii="宋体" w:hAnsi="宋体" w:cs="宋体"/>
          <w:highlight w:val="none"/>
        </w:rPr>
        <w:t>（二）乙方的权利和义务</w:t>
      </w:r>
    </w:p>
    <w:p w14:paraId="67CE17AB">
      <w:pPr>
        <w:shd w:val="clear"/>
        <w:spacing w:line="440" w:lineRule="exact"/>
        <w:ind w:firstLine="482"/>
        <w:rPr>
          <w:rFonts w:ascii="宋体" w:hAnsi="宋体" w:cs="宋体"/>
          <w:b/>
          <w:highlight w:val="none"/>
        </w:rPr>
      </w:pPr>
      <w:r>
        <w:rPr>
          <w:rFonts w:hint="eastAsia" w:ascii="宋体" w:hAnsi="宋体" w:cs="宋体"/>
          <w:b/>
          <w:highlight w:val="none"/>
        </w:rPr>
        <w:t>五、服务期间（项目完成期限）</w:t>
      </w:r>
    </w:p>
    <w:p w14:paraId="754AA783">
      <w:pPr>
        <w:shd w:val="clear"/>
        <w:spacing w:line="440" w:lineRule="exact"/>
        <w:ind w:firstLine="480"/>
        <w:rPr>
          <w:rFonts w:ascii="宋体" w:hAnsi="宋体" w:cs="宋体"/>
          <w:highlight w:val="none"/>
        </w:rPr>
      </w:pPr>
      <w:r>
        <w:rPr>
          <w:rFonts w:hint="eastAsia" w:ascii="宋体" w:hAnsi="宋体" w:cs="宋体"/>
          <w:highlight w:val="none"/>
        </w:rPr>
        <w:t>委托服务期间自______年______月至______年______月止。</w:t>
      </w:r>
    </w:p>
    <w:p w14:paraId="2DFA24EF">
      <w:pPr>
        <w:shd w:val="clear"/>
        <w:spacing w:line="440" w:lineRule="exact"/>
        <w:ind w:firstLine="482"/>
        <w:rPr>
          <w:rFonts w:ascii="宋体" w:hAnsi="宋体" w:cs="宋体"/>
          <w:b/>
          <w:highlight w:val="none"/>
        </w:rPr>
      </w:pPr>
      <w:r>
        <w:rPr>
          <w:rFonts w:hint="eastAsia" w:ascii="宋体" w:hAnsi="宋体" w:cs="宋体"/>
          <w:b/>
          <w:highlight w:val="none"/>
        </w:rPr>
        <w:t>六、验收及评价考核</w:t>
      </w:r>
    </w:p>
    <w:p w14:paraId="43E284D3">
      <w:pPr>
        <w:shd w:val="clear"/>
        <w:spacing w:line="440" w:lineRule="exact"/>
        <w:ind w:firstLine="482"/>
        <w:rPr>
          <w:rFonts w:ascii="宋体" w:hAnsi="宋体" w:cs="宋体"/>
          <w:b/>
          <w:highlight w:val="none"/>
        </w:rPr>
      </w:pPr>
    </w:p>
    <w:p w14:paraId="69118791">
      <w:pPr>
        <w:shd w:val="clear"/>
        <w:spacing w:line="440" w:lineRule="exact"/>
        <w:ind w:firstLine="482"/>
        <w:rPr>
          <w:rFonts w:ascii="宋体" w:hAnsi="宋体" w:cs="宋体"/>
          <w:highlight w:val="none"/>
        </w:rPr>
      </w:pPr>
      <w:r>
        <w:rPr>
          <w:rFonts w:hint="eastAsia" w:ascii="宋体" w:hAnsi="宋体" w:cs="宋体"/>
          <w:b/>
          <w:highlight w:val="none"/>
        </w:rPr>
        <w:t>七、 付款方式</w:t>
      </w:r>
    </w:p>
    <w:p w14:paraId="2D60D50E">
      <w:pPr>
        <w:shd w:val="clear"/>
        <w:spacing w:line="440" w:lineRule="exact"/>
        <w:ind w:firstLine="480"/>
        <w:rPr>
          <w:rFonts w:ascii="宋体" w:hAnsi="宋体" w:cs="宋体"/>
          <w:highlight w:val="none"/>
        </w:rPr>
      </w:pPr>
      <w:r>
        <w:rPr>
          <w:rFonts w:hint="eastAsia" w:ascii="宋体" w:hAnsi="宋体" w:cs="宋体"/>
          <w:highlight w:val="none"/>
        </w:rPr>
        <w:t>由甲方按下列程序在内付款。</w:t>
      </w:r>
    </w:p>
    <w:p w14:paraId="7BB2DA45">
      <w:pPr>
        <w:shd w:val="clear"/>
        <w:spacing w:line="440" w:lineRule="exact"/>
        <w:ind w:firstLine="480"/>
        <w:rPr>
          <w:rFonts w:ascii="宋体" w:hAnsi="宋体" w:cs="宋体"/>
          <w:highlight w:val="none"/>
        </w:rPr>
      </w:pPr>
      <w:r>
        <w:rPr>
          <w:rFonts w:hint="eastAsia" w:ascii="宋体" w:hAnsi="宋体" w:cs="宋体"/>
          <w:highlight w:val="none"/>
        </w:rPr>
        <w:t>1)在合同实施及服务人员到达服务地后__天内，甲方应将第一次付　　款总服务费的__(-%)付给乙方。</w:t>
      </w:r>
    </w:p>
    <w:p w14:paraId="1B6E79D7">
      <w:pPr>
        <w:shd w:val="clear"/>
        <w:spacing w:line="440" w:lineRule="exact"/>
        <w:ind w:firstLine="480"/>
        <w:rPr>
          <w:rFonts w:ascii="宋体" w:hAnsi="宋体" w:cs="宋体"/>
          <w:highlight w:val="none"/>
        </w:rPr>
      </w:pPr>
      <w:r>
        <w:rPr>
          <w:rFonts w:hint="eastAsia" w:ascii="宋体" w:hAnsi="宋体" w:cs="宋体"/>
          <w:highlight w:val="none"/>
        </w:rPr>
        <w:t>2)第二次付款额应为总服务费的__(-%)，甲方应在乙方已经准备好，并递交了服务报告及其它相关文件，而这些报告和文件符合合同附件上的要求并被甲方验收后付给乙方。</w:t>
      </w:r>
    </w:p>
    <w:p w14:paraId="2EC3C406">
      <w:pPr>
        <w:shd w:val="clear"/>
        <w:spacing w:line="440" w:lineRule="exact"/>
        <w:ind w:firstLine="480"/>
        <w:rPr>
          <w:rFonts w:ascii="宋体" w:hAnsi="宋体" w:cs="宋体"/>
          <w:highlight w:val="none"/>
        </w:rPr>
      </w:pPr>
      <w:r>
        <w:rPr>
          <w:rFonts w:hint="eastAsia" w:ascii="宋体" w:hAnsi="宋体" w:cs="宋体"/>
          <w:highlight w:val="none"/>
        </w:rPr>
        <w:t>3)最后一次付款额应为总服务费的__(-%)，甲方应在乙方递交了服务总结报告和说明并完全履行合同完毕日内付给乙方。</w:t>
      </w:r>
    </w:p>
    <w:p w14:paraId="54D37D34">
      <w:pPr>
        <w:shd w:val="clear"/>
        <w:tabs>
          <w:tab w:val="left" w:pos="900"/>
        </w:tabs>
        <w:spacing w:line="440" w:lineRule="exact"/>
        <w:ind w:firstLine="482"/>
        <w:rPr>
          <w:rFonts w:ascii="宋体" w:hAnsi="宋体" w:cs="宋体"/>
          <w:b/>
          <w:highlight w:val="none"/>
        </w:rPr>
      </w:pPr>
      <w:r>
        <w:rPr>
          <w:rFonts w:hint="eastAsia" w:ascii="宋体" w:hAnsi="宋体" w:cs="宋体"/>
          <w:b/>
          <w:highlight w:val="none"/>
        </w:rPr>
        <w:t>八、知识产权产权归属</w:t>
      </w:r>
    </w:p>
    <w:p w14:paraId="3CC70E50">
      <w:pPr>
        <w:shd w:val="clear"/>
        <w:tabs>
          <w:tab w:val="left" w:pos="900"/>
        </w:tabs>
        <w:spacing w:line="440" w:lineRule="exact"/>
        <w:ind w:firstLine="482"/>
        <w:rPr>
          <w:rFonts w:ascii="宋体" w:hAnsi="宋体" w:cs="宋体"/>
          <w:b/>
          <w:highlight w:val="none"/>
        </w:rPr>
      </w:pPr>
    </w:p>
    <w:p w14:paraId="05A67366">
      <w:pPr>
        <w:shd w:val="clear"/>
        <w:tabs>
          <w:tab w:val="left" w:pos="900"/>
        </w:tabs>
        <w:spacing w:line="440" w:lineRule="exact"/>
        <w:ind w:firstLine="482"/>
        <w:rPr>
          <w:rFonts w:ascii="宋体" w:hAnsi="宋体" w:cs="宋体"/>
          <w:b/>
          <w:highlight w:val="none"/>
        </w:rPr>
      </w:pPr>
      <w:r>
        <w:rPr>
          <w:rFonts w:hint="eastAsia" w:ascii="宋体" w:hAnsi="宋体" w:cs="宋体"/>
          <w:b/>
          <w:highlight w:val="none"/>
        </w:rPr>
        <w:t>九、保密</w:t>
      </w:r>
    </w:p>
    <w:p w14:paraId="7570035C">
      <w:pPr>
        <w:shd w:val="clear"/>
        <w:tabs>
          <w:tab w:val="left" w:pos="900"/>
        </w:tabs>
        <w:spacing w:line="440" w:lineRule="exact"/>
        <w:ind w:firstLine="482"/>
        <w:rPr>
          <w:rFonts w:ascii="宋体" w:hAnsi="宋体" w:cs="宋体"/>
          <w:b/>
          <w:highlight w:val="none"/>
        </w:rPr>
      </w:pPr>
    </w:p>
    <w:p w14:paraId="44842555">
      <w:pPr>
        <w:shd w:val="clear"/>
        <w:tabs>
          <w:tab w:val="left" w:pos="900"/>
        </w:tabs>
        <w:spacing w:line="440" w:lineRule="exact"/>
        <w:ind w:firstLine="482"/>
        <w:rPr>
          <w:rFonts w:ascii="宋体" w:hAnsi="宋体" w:cs="宋体"/>
          <w:b/>
          <w:highlight w:val="none"/>
        </w:rPr>
      </w:pPr>
      <w:r>
        <w:rPr>
          <w:rFonts w:hint="eastAsia" w:ascii="宋体" w:hAnsi="宋体" w:cs="宋体"/>
          <w:b/>
          <w:highlight w:val="none"/>
        </w:rPr>
        <w:t>十、违约责任与赔偿损失</w:t>
      </w:r>
    </w:p>
    <w:p w14:paraId="44F99618">
      <w:pPr>
        <w:shd w:val="clear"/>
        <w:tabs>
          <w:tab w:val="left" w:pos="900"/>
        </w:tabs>
        <w:spacing w:line="440" w:lineRule="exact"/>
        <w:ind w:firstLine="480"/>
        <w:rPr>
          <w:rFonts w:ascii="宋体" w:hAnsi="宋体" w:cs="宋体"/>
          <w:highlight w:val="none"/>
        </w:rPr>
      </w:pPr>
      <w:r>
        <w:rPr>
          <w:rFonts w:hint="eastAsia" w:ascii="宋体" w:hAnsi="宋体" w:cs="宋体"/>
          <w:highlight w:val="none"/>
        </w:rPr>
        <w:t>1) 乙方提供的服务不符合</w:t>
      </w:r>
      <w:r>
        <w:rPr>
          <w:rFonts w:hint="eastAsia" w:ascii="宋体" w:hAnsi="宋体" w:cs="宋体"/>
          <w:highlight w:val="none"/>
          <w:lang w:eastAsia="zh-CN"/>
        </w:rPr>
        <w:t>比选</w:t>
      </w:r>
      <w:r>
        <w:rPr>
          <w:rFonts w:hint="eastAsia" w:ascii="宋体" w:hAnsi="宋体" w:cs="宋体"/>
          <w:highlight w:val="none"/>
        </w:rPr>
        <w:t>文件、报价文件或本合同规定的，甲方有权拒收，并且乙方须向甲方方支付本合同总价5%的违约金。</w:t>
      </w:r>
    </w:p>
    <w:p w14:paraId="39E13360">
      <w:pPr>
        <w:shd w:val="clear"/>
        <w:tabs>
          <w:tab w:val="left" w:pos="720"/>
          <w:tab w:val="left" w:pos="900"/>
        </w:tabs>
        <w:spacing w:line="440" w:lineRule="exact"/>
        <w:ind w:right="210" w:firstLine="480"/>
        <w:rPr>
          <w:rFonts w:ascii="宋体" w:hAnsi="宋体" w:cs="宋体"/>
          <w:highlight w:val="none"/>
        </w:rPr>
      </w:pPr>
      <w:r>
        <w:rPr>
          <w:rFonts w:hint="eastAsia" w:ascii="宋体" w:hAnsi="宋体" w:cs="宋体"/>
          <w:highlight w:val="none"/>
        </w:rPr>
        <w:t>2) 乙方未能按本合同规定的交货时间提供服务，从逾期之日起每日按本合同总价3‰的数额向甲方支付违约金；逾期半个月以上的，甲方有权终止合同，由此造成的甲方经济损失由乙方承担。</w:t>
      </w:r>
    </w:p>
    <w:p w14:paraId="02FB9812">
      <w:pPr>
        <w:shd w:val="clear"/>
        <w:spacing w:line="440" w:lineRule="exact"/>
        <w:ind w:firstLine="480"/>
        <w:rPr>
          <w:rFonts w:ascii="宋体" w:hAnsi="宋体" w:cs="宋体"/>
          <w:highlight w:val="none"/>
        </w:rPr>
      </w:pPr>
      <w:r>
        <w:rPr>
          <w:rFonts w:hint="eastAsia" w:ascii="宋体" w:hAnsi="宋体" w:cs="宋体"/>
          <w:highlight w:val="none"/>
        </w:rPr>
        <w:t>3) 甲方无正当理由拒收接受服务，到期拒付服务款项的，甲方向乙方偿付本合同总的5%的违约金。甲方人逾期付款，则每日按本合同总价的3‰向乙方偿付违约金。</w:t>
      </w:r>
    </w:p>
    <w:p w14:paraId="7F42C00D">
      <w:pPr>
        <w:shd w:val="clear"/>
        <w:spacing w:line="440" w:lineRule="exact"/>
        <w:ind w:firstLine="480"/>
        <w:rPr>
          <w:rFonts w:ascii="宋体" w:hAnsi="宋体" w:cs="宋体"/>
          <w:bCs/>
          <w:highlight w:val="none"/>
        </w:rPr>
      </w:pPr>
      <w:r>
        <w:rPr>
          <w:rFonts w:hint="eastAsia" w:ascii="宋体" w:hAnsi="宋体" w:cs="宋体"/>
          <w:bCs/>
          <w:highlight w:val="none"/>
        </w:rPr>
        <w:t>4) 其它违约责任按《中华人民共和国合同法》处理。</w:t>
      </w:r>
    </w:p>
    <w:p w14:paraId="7B33636F">
      <w:pPr>
        <w:shd w:val="clear"/>
        <w:spacing w:line="440" w:lineRule="exact"/>
        <w:ind w:firstLine="482"/>
        <w:rPr>
          <w:rFonts w:ascii="宋体" w:hAnsi="宋体" w:cs="宋体"/>
          <w:b/>
          <w:highlight w:val="none"/>
        </w:rPr>
      </w:pPr>
      <w:r>
        <w:rPr>
          <w:rFonts w:hint="eastAsia" w:ascii="宋体" w:hAnsi="宋体" w:cs="宋体"/>
          <w:b/>
          <w:highlight w:val="none"/>
        </w:rPr>
        <w:t>十一、争端的解决</w:t>
      </w:r>
    </w:p>
    <w:p w14:paraId="42702403">
      <w:pPr>
        <w:shd w:val="clear"/>
        <w:spacing w:line="440" w:lineRule="exact"/>
        <w:ind w:firstLine="480"/>
        <w:rPr>
          <w:rFonts w:ascii="宋体" w:hAnsi="宋体" w:cs="宋体"/>
          <w:highlight w:val="none"/>
        </w:rPr>
      </w:pPr>
      <w:r>
        <w:rPr>
          <w:rFonts w:hint="eastAsia" w:ascii="宋体" w:hAnsi="宋体" w:cs="宋体"/>
          <w:highlight w:val="none"/>
        </w:rPr>
        <w:t>1)合同执行过程中发生的任何争议，如双方不能通过友好协商解决，按相关法律法规处理。</w:t>
      </w:r>
    </w:p>
    <w:p w14:paraId="44B30620">
      <w:pPr>
        <w:shd w:val="clear"/>
        <w:spacing w:line="440" w:lineRule="exact"/>
        <w:ind w:firstLine="480"/>
        <w:rPr>
          <w:rFonts w:ascii="宋体" w:hAnsi="宋体" w:cs="宋体"/>
          <w:highlight w:val="none"/>
        </w:rPr>
      </w:pPr>
      <w:r>
        <w:rPr>
          <w:rFonts w:hint="eastAsia" w:ascii="宋体" w:hAnsi="宋体" w:cs="宋体"/>
          <w:highlight w:val="none"/>
        </w:rPr>
        <w:t>2）……</w:t>
      </w:r>
    </w:p>
    <w:p w14:paraId="307D30C6">
      <w:pPr>
        <w:shd w:val="clear"/>
        <w:spacing w:line="440" w:lineRule="exact"/>
        <w:ind w:firstLine="482"/>
        <w:rPr>
          <w:rFonts w:ascii="宋体" w:hAnsi="宋体" w:cs="宋体"/>
          <w:highlight w:val="none"/>
        </w:rPr>
      </w:pPr>
      <w:r>
        <w:rPr>
          <w:rFonts w:hint="eastAsia" w:ascii="宋体" w:hAnsi="宋体" w:cs="宋体"/>
          <w:b/>
          <w:highlight w:val="none"/>
        </w:rPr>
        <w:t>十二、不可抗力：</w:t>
      </w:r>
      <w:r>
        <w:rPr>
          <w:rFonts w:hint="eastAsia" w:ascii="宋体" w:hAnsi="宋体" w:cs="宋体"/>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3000324D">
      <w:pPr>
        <w:shd w:val="clear"/>
        <w:spacing w:line="440" w:lineRule="exact"/>
        <w:ind w:firstLine="482"/>
        <w:rPr>
          <w:rFonts w:ascii="宋体" w:hAnsi="宋体" w:cs="宋体"/>
          <w:highlight w:val="none"/>
        </w:rPr>
      </w:pPr>
      <w:r>
        <w:rPr>
          <w:rFonts w:hint="eastAsia" w:ascii="宋体" w:hAnsi="宋体" w:cs="宋体"/>
          <w:b/>
          <w:highlight w:val="none"/>
        </w:rPr>
        <w:t>十三、税费：</w:t>
      </w:r>
      <w:r>
        <w:rPr>
          <w:rFonts w:hint="eastAsia" w:ascii="宋体" w:hAnsi="宋体" w:cs="宋体"/>
          <w:highlight w:val="none"/>
        </w:rPr>
        <w:t>在中国境内、外发生的与本合同执行有关的一切税费均由乙方负担。</w:t>
      </w:r>
    </w:p>
    <w:p w14:paraId="23DF8A92">
      <w:pPr>
        <w:shd w:val="clear"/>
        <w:spacing w:line="440" w:lineRule="exact"/>
        <w:ind w:firstLine="482"/>
        <w:rPr>
          <w:rFonts w:ascii="宋体" w:hAnsi="宋体" w:cs="宋体"/>
          <w:b/>
          <w:highlight w:val="none"/>
        </w:rPr>
      </w:pPr>
      <w:r>
        <w:rPr>
          <w:rFonts w:hint="eastAsia" w:ascii="宋体" w:hAnsi="宋体" w:cs="宋体"/>
          <w:b/>
          <w:highlight w:val="none"/>
        </w:rPr>
        <w:t>十四、其它</w:t>
      </w:r>
    </w:p>
    <w:p w14:paraId="753B016D">
      <w:pPr>
        <w:shd w:val="clear"/>
        <w:spacing w:line="440" w:lineRule="exact"/>
        <w:ind w:firstLine="480"/>
        <w:rPr>
          <w:rFonts w:ascii="宋体" w:hAnsi="宋体" w:cs="宋体"/>
          <w:b/>
          <w:highlight w:val="none"/>
        </w:rPr>
      </w:pPr>
      <w:r>
        <w:rPr>
          <w:rFonts w:hint="eastAsia" w:ascii="宋体" w:hAnsi="宋体" w:cs="宋体"/>
          <w:highlight w:val="none"/>
        </w:rPr>
        <w:t>1) 本合同所有附件、</w:t>
      </w:r>
      <w:r>
        <w:rPr>
          <w:rFonts w:hint="eastAsia" w:ascii="宋体" w:hAnsi="宋体" w:cs="宋体"/>
          <w:highlight w:val="none"/>
          <w:lang w:eastAsia="zh-CN"/>
        </w:rPr>
        <w:t>比选</w:t>
      </w:r>
      <w:r>
        <w:rPr>
          <w:rFonts w:hint="eastAsia" w:ascii="宋体" w:hAnsi="宋体" w:cs="宋体"/>
          <w:highlight w:val="none"/>
        </w:rPr>
        <w:t>文件、响应文件、成交通知书通知书均为合同的有效组成部分，与本合同具有同等法律效力。</w:t>
      </w:r>
    </w:p>
    <w:p w14:paraId="10592D22">
      <w:pPr>
        <w:shd w:val="clear"/>
        <w:spacing w:line="440" w:lineRule="exact"/>
        <w:ind w:firstLine="480"/>
        <w:rPr>
          <w:rFonts w:ascii="宋体" w:hAnsi="宋体" w:cs="宋体"/>
          <w:highlight w:val="none"/>
        </w:rPr>
      </w:pPr>
      <w:r>
        <w:rPr>
          <w:rFonts w:hint="eastAsia" w:ascii="宋体" w:hAnsi="宋体" w:cs="宋体"/>
          <w:bCs/>
          <w:highlight w:val="none"/>
        </w:rPr>
        <w:t xml:space="preserve">2) </w:t>
      </w:r>
      <w:r>
        <w:rPr>
          <w:rFonts w:hint="eastAsia" w:ascii="宋体" w:hAnsi="宋体" w:cs="宋体"/>
          <w:highlight w:val="none"/>
        </w:rPr>
        <w:t>在执行本合同的过程中，所有经双方签署确认的文件（包括会议纪要、补充协议、往来信函）即成为本合同的有效组成部分。</w:t>
      </w:r>
    </w:p>
    <w:p w14:paraId="2EBFB03F">
      <w:pPr>
        <w:shd w:val="clear"/>
        <w:spacing w:line="440" w:lineRule="exact"/>
        <w:ind w:firstLine="480"/>
        <w:rPr>
          <w:rFonts w:ascii="宋体" w:hAnsi="宋体" w:cs="宋体"/>
          <w:highlight w:val="none"/>
        </w:rPr>
      </w:pPr>
      <w:r>
        <w:rPr>
          <w:rFonts w:hint="eastAsia" w:ascii="宋体" w:hAnsi="宋体" w:cs="宋体"/>
          <w:highlight w:val="none"/>
        </w:rPr>
        <w:t xml:space="preserve">3) 如一方地址、电话、传真号码有变更，应在变更当日内书面通知对方，否则，应承担相应责任。 </w:t>
      </w:r>
    </w:p>
    <w:p w14:paraId="1A210755">
      <w:pPr>
        <w:shd w:val="clear"/>
        <w:spacing w:line="440" w:lineRule="exact"/>
        <w:ind w:firstLine="480"/>
        <w:rPr>
          <w:rFonts w:ascii="宋体" w:hAnsi="宋体" w:cs="宋体"/>
          <w:highlight w:val="none"/>
        </w:rPr>
      </w:pPr>
      <w:r>
        <w:rPr>
          <w:rFonts w:hint="eastAsia" w:ascii="宋体" w:hAnsi="宋体" w:cs="宋体"/>
          <w:highlight w:val="none"/>
        </w:rPr>
        <w:t>4) 除甲方事先书面同意外，乙方不得部分或全部转让其应履行的合同项下的义务。</w:t>
      </w:r>
    </w:p>
    <w:p w14:paraId="1785EDF9">
      <w:pPr>
        <w:shd w:val="clear"/>
        <w:spacing w:line="440" w:lineRule="exact"/>
        <w:ind w:firstLine="482"/>
        <w:rPr>
          <w:rFonts w:ascii="宋体" w:hAnsi="宋体" w:cs="宋体"/>
          <w:b/>
          <w:highlight w:val="none"/>
        </w:rPr>
      </w:pPr>
      <w:r>
        <w:rPr>
          <w:rFonts w:hint="eastAsia" w:ascii="宋体" w:hAnsi="宋体" w:cs="宋体"/>
          <w:b/>
          <w:highlight w:val="none"/>
        </w:rPr>
        <w:t>十五、合同生效：</w:t>
      </w:r>
    </w:p>
    <w:p w14:paraId="4C3D8E73">
      <w:pPr>
        <w:shd w:val="clear"/>
        <w:spacing w:line="440" w:lineRule="exact"/>
        <w:ind w:firstLine="480"/>
        <w:rPr>
          <w:rFonts w:ascii="宋体" w:hAnsi="宋体" w:cs="宋体"/>
          <w:highlight w:val="none"/>
        </w:rPr>
      </w:pPr>
      <w:r>
        <w:rPr>
          <w:rFonts w:hint="eastAsia" w:ascii="宋体" w:hAnsi="宋体" w:cs="宋体"/>
          <w:highlight w:val="none"/>
        </w:rPr>
        <w:t>1）本合同在甲乙双方法人代表或其授权代表签字盖章后生效。</w:t>
      </w:r>
    </w:p>
    <w:p w14:paraId="6F1EA5A6">
      <w:pPr>
        <w:shd w:val="clear"/>
        <w:spacing w:line="440" w:lineRule="exact"/>
        <w:ind w:firstLine="480"/>
        <w:rPr>
          <w:rFonts w:ascii="宋体" w:hAnsi="宋体" w:cs="宋体"/>
          <w:highlight w:val="none"/>
        </w:rPr>
      </w:pPr>
      <w:r>
        <w:rPr>
          <w:rFonts w:hint="eastAsia" w:ascii="宋体" w:hAnsi="宋体" w:cs="宋体"/>
          <w:highlight w:val="none"/>
        </w:rPr>
        <w:t>2）合同一式份。</w:t>
      </w:r>
    </w:p>
    <w:p w14:paraId="560CF4DB">
      <w:pPr>
        <w:shd w:val="clear"/>
        <w:spacing w:line="440" w:lineRule="exact"/>
        <w:ind w:firstLine="480"/>
        <w:rPr>
          <w:rFonts w:ascii="宋体" w:hAnsi="宋体" w:cs="宋体"/>
          <w:highlight w:val="none"/>
        </w:rPr>
      </w:pPr>
      <w:r>
        <w:rPr>
          <w:rFonts w:hint="eastAsia" w:ascii="宋体" w:hAnsi="宋体" w:cs="宋体"/>
          <w:highlight w:val="none"/>
        </w:rPr>
        <w:t>3）同执行中涉及</w:t>
      </w:r>
      <w:r>
        <w:rPr>
          <w:rFonts w:hint="eastAsia" w:ascii="宋体" w:hAnsi="宋体" w:cs="宋体"/>
          <w:highlight w:val="none"/>
          <w:lang w:eastAsia="zh-CN"/>
        </w:rPr>
        <w:t>比选</w:t>
      </w:r>
      <w:r>
        <w:rPr>
          <w:rFonts w:hint="eastAsia" w:ascii="宋体" w:hAnsi="宋体" w:cs="宋体"/>
          <w:highlight w:val="none"/>
        </w:rPr>
        <w:t>资金和</w:t>
      </w:r>
      <w:r>
        <w:rPr>
          <w:rFonts w:hint="eastAsia" w:ascii="宋体" w:hAnsi="宋体" w:cs="宋体"/>
          <w:highlight w:val="none"/>
          <w:lang w:eastAsia="zh-CN"/>
        </w:rPr>
        <w:t>比选</w:t>
      </w:r>
      <w:r>
        <w:rPr>
          <w:rFonts w:hint="eastAsia" w:ascii="宋体" w:hAnsi="宋体" w:cs="宋体"/>
          <w:highlight w:val="none"/>
        </w:rPr>
        <w:t>内容修改或补充的，须经当地财政部门审批，并签订书面补充协议报监督管理部门备案，方可作为主合同不可分割的一部分。</w:t>
      </w:r>
    </w:p>
    <w:p w14:paraId="29BFC295">
      <w:pPr>
        <w:shd w:val="clear"/>
        <w:spacing w:line="440" w:lineRule="exact"/>
        <w:ind w:firstLine="482"/>
        <w:rPr>
          <w:rFonts w:ascii="宋体" w:hAnsi="宋体" w:cs="宋体"/>
          <w:b/>
          <w:highlight w:val="none"/>
        </w:rPr>
      </w:pPr>
    </w:p>
    <w:p w14:paraId="4DD408F9">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 xml:space="preserve">甲方：                                   乙方： </w:t>
      </w:r>
    </w:p>
    <w:p w14:paraId="768BD854">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 xml:space="preserve">地址：                                   地址： </w:t>
      </w:r>
    </w:p>
    <w:p w14:paraId="3492F2C8">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法定代表人：                             法定代表人：</w:t>
      </w:r>
    </w:p>
    <w:p w14:paraId="7DE6ADC4">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授权委托代理人：                         授权委托代理人：</w:t>
      </w:r>
    </w:p>
    <w:p w14:paraId="4B4F553B">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 xml:space="preserve">电话：                                   电话：   </w:t>
      </w:r>
    </w:p>
    <w:p w14:paraId="303A5E34">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传真：                                   传真：</w:t>
      </w:r>
    </w:p>
    <w:p w14:paraId="1347AB33">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邮政编码：                               邮政编码：</w:t>
      </w:r>
    </w:p>
    <w:p w14:paraId="62B35422">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 xml:space="preserve">                                           开户银行：</w:t>
      </w:r>
    </w:p>
    <w:p w14:paraId="5E53CF2D">
      <w:pPr>
        <w:pStyle w:val="19"/>
        <w:shd w:val="clear"/>
        <w:spacing w:line="440" w:lineRule="exact"/>
        <w:ind w:firstLine="482"/>
        <w:rPr>
          <w:rFonts w:hAnsi="宋体" w:cs="宋体"/>
          <w:b/>
          <w:sz w:val="24"/>
          <w:szCs w:val="24"/>
          <w:highlight w:val="none"/>
        </w:rPr>
      </w:pPr>
      <w:r>
        <w:rPr>
          <w:rFonts w:hint="eastAsia" w:hAnsi="宋体" w:cs="宋体"/>
          <w:b/>
          <w:sz w:val="24"/>
          <w:szCs w:val="24"/>
          <w:highlight w:val="none"/>
        </w:rPr>
        <w:t xml:space="preserve">                                           账号：</w:t>
      </w:r>
    </w:p>
    <w:p w14:paraId="7FC4CA5C">
      <w:pPr>
        <w:pStyle w:val="19"/>
        <w:shd w:val="clear"/>
        <w:spacing w:line="440" w:lineRule="exact"/>
        <w:ind w:firstLine="480"/>
        <w:rPr>
          <w:rFonts w:hAnsi="宋体" w:cs="宋体"/>
          <w:sz w:val="24"/>
          <w:szCs w:val="24"/>
          <w:highlight w:val="none"/>
        </w:rPr>
      </w:pPr>
    </w:p>
    <w:p w14:paraId="101CC07F">
      <w:pPr>
        <w:shd w:val="clear"/>
        <w:spacing w:line="440" w:lineRule="exact"/>
        <w:ind w:firstLine="480"/>
        <w:rPr>
          <w:rFonts w:ascii="宋体" w:hAnsi="宋体" w:cs="宋体"/>
          <w:highlight w:val="none"/>
        </w:rPr>
      </w:pPr>
      <w:r>
        <w:rPr>
          <w:rFonts w:hint="eastAsia" w:ascii="宋体" w:hAnsi="宋体" w:cs="宋体"/>
          <w:highlight w:val="none"/>
        </w:rPr>
        <w:t>签订地点：                          签订日期：      年  月  日</w:t>
      </w:r>
    </w:p>
    <w:p w14:paraId="385753F4">
      <w:pPr>
        <w:shd w:val="clear"/>
        <w:adjustRightInd w:val="0"/>
        <w:snapToGrid w:val="0"/>
        <w:spacing w:line="440" w:lineRule="exact"/>
        <w:ind w:firstLine="482"/>
        <w:rPr>
          <w:rFonts w:ascii="宋体" w:hAnsi="宋体" w:cs="宋体"/>
          <w:b/>
          <w:highlight w:val="none"/>
        </w:rPr>
      </w:pPr>
    </w:p>
    <w:p w14:paraId="3371943F">
      <w:pPr>
        <w:shd w:val="clear"/>
        <w:spacing w:line="440" w:lineRule="exact"/>
        <w:rPr>
          <w:rFonts w:ascii="宋体" w:hAnsi="宋体" w:cs="宋体"/>
          <w:b/>
          <w:highlight w:val="none"/>
        </w:rPr>
      </w:pPr>
      <w:r>
        <w:rPr>
          <w:rFonts w:hint="eastAsia" w:ascii="宋体" w:hAnsi="宋体" w:cs="宋体"/>
          <w:b/>
          <w:highlight w:val="none"/>
        </w:rPr>
        <w:t>注意事项：本合同仅供参考，具体合同条款由甲乙双方协商约定。</w:t>
      </w:r>
    </w:p>
    <w:p w14:paraId="603E24E5">
      <w:pPr>
        <w:shd w:val="clear"/>
        <w:spacing w:line="360" w:lineRule="auto"/>
        <w:jc w:val="center"/>
        <w:rPr>
          <w:rFonts w:ascii="宋体" w:hAnsi="宋体" w:cs="宋体"/>
          <w:b/>
          <w:sz w:val="28"/>
          <w:szCs w:val="28"/>
          <w:highlight w:val="none"/>
        </w:rPr>
      </w:pPr>
      <w:r>
        <w:rPr>
          <w:rFonts w:hint="eastAsia" w:ascii="宋体" w:hAnsi="宋体" w:cs="宋体"/>
          <w:b/>
          <w:sz w:val="28"/>
          <w:szCs w:val="28"/>
          <w:highlight w:val="none"/>
        </w:rPr>
        <w:br w:type="page"/>
      </w:r>
    </w:p>
    <w:p w14:paraId="354D38EC">
      <w:pPr>
        <w:pStyle w:val="2"/>
        <w:widowControl w:val="0"/>
        <w:shd w:val="clear"/>
        <w:spacing w:line="360" w:lineRule="auto"/>
        <w:rPr>
          <w:rFonts w:ascii="宋体" w:hAnsi="宋体" w:eastAsia="宋体" w:cs="宋体"/>
          <w:b/>
          <w:color w:val="auto"/>
          <w:szCs w:val="32"/>
          <w:highlight w:val="none"/>
        </w:rPr>
      </w:pPr>
      <w:bookmarkStart w:id="148" w:name="_Toc18184"/>
      <w:bookmarkStart w:id="149" w:name="_Toc19096"/>
      <w:r>
        <w:rPr>
          <w:rFonts w:hint="eastAsia" w:ascii="宋体" w:hAnsi="宋体" w:eastAsia="宋体" w:cs="宋体"/>
          <w:b/>
          <w:color w:val="auto"/>
          <w:szCs w:val="32"/>
          <w:highlight w:val="none"/>
        </w:rPr>
        <w:t xml:space="preserve">第三部分  </w:t>
      </w:r>
      <w:bookmarkEnd w:id="137"/>
      <w:bookmarkEnd w:id="138"/>
      <w:bookmarkEnd w:id="139"/>
      <w:bookmarkEnd w:id="140"/>
      <w:r>
        <w:rPr>
          <w:rFonts w:hint="eastAsia" w:ascii="宋体" w:hAnsi="宋体" w:eastAsia="宋体" w:cs="宋体"/>
          <w:b/>
          <w:color w:val="auto"/>
          <w:szCs w:val="32"/>
          <w:highlight w:val="none"/>
        </w:rPr>
        <w:t>响应文件编制规范</w:t>
      </w:r>
      <w:bookmarkEnd w:id="144"/>
      <w:bookmarkEnd w:id="148"/>
      <w:bookmarkEnd w:id="149"/>
    </w:p>
    <w:p w14:paraId="1984377E">
      <w:pPr>
        <w:pStyle w:val="3"/>
        <w:widowControl w:val="0"/>
        <w:shd w:val="clear"/>
        <w:spacing w:beforeLines="100" w:afterLines="100" w:line="360" w:lineRule="auto"/>
        <w:rPr>
          <w:rFonts w:ascii="宋体" w:hAnsi="宋体" w:eastAsia="宋体" w:cs="宋体"/>
          <w:color w:val="auto"/>
          <w:highlight w:val="none"/>
        </w:rPr>
      </w:pPr>
      <w:bookmarkStart w:id="150" w:name="_Toc406670772"/>
      <w:bookmarkStart w:id="151" w:name="_Toc406671143"/>
      <w:bookmarkStart w:id="152" w:name="_Toc406671715"/>
      <w:bookmarkStart w:id="153" w:name="_Toc406672411"/>
    </w:p>
    <w:bookmarkEnd w:id="150"/>
    <w:bookmarkEnd w:id="151"/>
    <w:bookmarkEnd w:id="152"/>
    <w:bookmarkEnd w:id="153"/>
    <w:p w14:paraId="2DDF5150">
      <w:pPr>
        <w:shd w:val="clear"/>
        <w:spacing w:line="360" w:lineRule="auto"/>
        <w:rPr>
          <w:rFonts w:ascii="宋体" w:hAnsi="宋体"/>
          <w:color w:val="auto"/>
          <w:highlight w:val="none"/>
        </w:rPr>
      </w:pPr>
      <w:bookmarkStart w:id="154" w:name="_Toc437426695"/>
      <w:bookmarkEnd w:id="154"/>
      <w:bookmarkStart w:id="155" w:name="_Toc406671144"/>
      <w:bookmarkEnd w:id="155"/>
      <w:bookmarkStart w:id="156" w:name="_Toc406671716"/>
      <w:bookmarkEnd w:id="156"/>
      <w:bookmarkStart w:id="157" w:name="_Toc406672412"/>
      <w:bookmarkEnd w:id="157"/>
      <w:bookmarkStart w:id="158" w:name="_Toc406670773"/>
      <w:bookmarkEnd w:id="158"/>
      <w:r>
        <w:rPr>
          <w:rFonts w:hint="eastAsia" w:ascii="宋体" w:hAnsi="宋体"/>
          <w:color w:val="auto"/>
          <w:highlight w:val="none"/>
        </w:rPr>
        <w:t xml:space="preserve">（封面）                        </w:t>
      </w:r>
    </w:p>
    <w:p w14:paraId="5F714322">
      <w:pPr>
        <w:shd w:val="clear"/>
        <w:spacing w:line="360" w:lineRule="auto"/>
        <w:rPr>
          <w:rFonts w:ascii="宋体" w:hAnsi="宋体"/>
          <w:color w:val="auto"/>
          <w:highlight w:val="none"/>
        </w:rPr>
      </w:pPr>
    </w:p>
    <w:p w14:paraId="4A6D2645">
      <w:pPr>
        <w:shd w:val="clear"/>
        <w:spacing w:line="360" w:lineRule="auto"/>
        <w:rPr>
          <w:rFonts w:ascii="宋体" w:hAnsi="宋体"/>
          <w:color w:val="auto"/>
          <w:highlight w:val="none"/>
        </w:rPr>
      </w:pPr>
    </w:p>
    <w:p w14:paraId="4A3B1EF7">
      <w:pPr>
        <w:shd w:val="clear"/>
        <w:spacing w:line="360" w:lineRule="auto"/>
        <w:jc w:val="center"/>
        <w:rPr>
          <w:rFonts w:ascii="宋体" w:hAnsi="宋体" w:cs="仿宋"/>
          <w:b/>
          <w:bCs/>
          <w:color w:val="auto"/>
          <w:sz w:val="112"/>
          <w:szCs w:val="112"/>
          <w:highlight w:val="none"/>
        </w:rPr>
      </w:pPr>
      <w:r>
        <w:rPr>
          <w:rFonts w:hint="eastAsia" w:ascii="宋体" w:hAnsi="宋体" w:cs="仿宋"/>
          <w:b/>
          <w:bCs/>
          <w:color w:val="auto"/>
          <w:sz w:val="112"/>
          <w:szCs w:val="112"/>
          <w:highlight w:val="none"/>
        </w:rPr>
        <w:t>响 应 文 件</w:t>
      </w:r>
    </w:p>
    <w:p w14:paraId="678930FD">
      <w:pPr>
        <w:shd w:val="clear"/>
        <w:spacing w:line="360" w:lineRule="auto"/>
        <w:jc w:val="center"/>
        <w:rPr>
          <w:rFonts w:ascii="宋体" w:hAnsi="宋体" w:cs="仿宋"/>
          <w:color w:val="auto"/>
          <w:sz w:val="48"/>
          <w:szCs w:val="48"/>
          <w:highlight w:val="none"/>
        </w:rPr>
      </w:pPr>
    </w:p>
    <w:p w14:paraId="53139165">
      <w:pPr>
        <w:widowControl w:val="0"/>
        <w:shd w:val="clear"/>
        <w:spacing w:line="360" w:lineRule="auto"/>
        <w:ind w:firstLine="562"/>
        <w:jc w:val="center"/>
        <w:rPr>
          <w:rFonts w:ascii="宋体" w:hAnsi="宋体" w:cs="宋体"/>
          <w:color w:val="auto"/>
          <w:sz w:val="28"/>
          <w:szCs w:val="28"/>
          <w:highlight w:val="none"/>
        </w:rPr>
      </w:pPr>
      <w:r>
        <w:rPr>
          <w:rFonts w:hint="eastAsia" w:ascii="宋体" w:hAnsi="宋体" w:cs="宋体"/>
          <w:color w:val="auto"/>
          <w:sz w:val="28"/>
          <w:szCs w:val="28"/>
          <w:highlight w:val="none"/>
        </w:rPr>
        <w:t>（格式仅供参考）</w:t>
      </w:r>
    </w:p>
    <w:p w14:paraId="52A3A192">
      <w:pPr>
        <w:shd w:val="clear"/>
        <w:spacing w:line="360" w:lineRule="auto"/>
        <w:jc w:val="center"/>
        <w:rPr>
          <w:rFonts w:ascii="宋体" w:hAnsi="宋体" w:cs="仿宋"/>
          <w:color w:val="auto"/>
          <w:sz w:val="28"/>
          <w:szCs w:val="28"/>
          <w:highlight w:val="none"/>
        </w:rPr>
      </w:pPr>
    </w:p>
    <w:p w14:paraId="083931F6">
      <w:pPr>
        <w:shd w:val="clear"/>
        <w:spacing w:line="360" w:lineRule="auto"/>
        <w:jc w:val="center"/>
        <w:rPr>
          <w:rFonts w:ascii="宋体" w:hAnsi="宋体" w:cs="仿宋"/>
          <w:color w:val="auto"/>
          <w:sz w:val="28"/>
          <w:szCs w:val="28"/>
          <w:highlight w:val="none"/>
        </w:rPr>
      </w:pPr>
    </w:p>
    <w:p w14:paraId="52FDDF00">
      <w:pPr>
        <w:shd w:val="clear"/>
        <w:spacing w:line="360" w:lineRule="auto"/>
        <w:rPr>
          <w:rFonts w:ascii="宋体" w:hAnsi="宋体" w:cs="仿宋"/>
          <w:color w:val="auto"/>
          <w:sz w:val="28"/>
          <w:szCs w:val="28"/>
          <w:highlight w:val="none"/>
        </w:rPr>
      </w:pPr>
    </w:p>
    <w:p w14:paraId="143693AD">
      <w:pPr>
        <w:shd w:val="clear"/>
        <w:spacing w:line="360" w:lineRule="auto"/>
        <w:rPr>
          <w:rFonts w:ascii="宋体" w:hAnsi="宋体" w:cs="仿宋"/>
          <w:color w:val="auto"/>
          <w:sz w:val="28"/>
          <w:szCs w:val="28"/>
          <w:highlight w:val="none"/>
        </w:rPr>
      </w:pPr>
      <w:r>
        <w:rPr>
          <w:rFonts w:hint="eastAsia" w:ascii="宋体" w:hAnsi="宋体" w:cs="仿宋"/>
          <w:color w:val="auto"/>
          <w:sz w:val="28"/>
          <w:szCs w:val="28"/>
          <w:highlight w:val="none"/>
        </w:rPr>
        <w:t xml:space="preserve">         项目名称：</w:t>
      </w:r>
    </w:p>
    <w:p w14:paraId="72C260B9">
      <w:pPr>
        <w:shd w:val="clear"/>
        <w:spacing w:line="360" w:lineRule="auto"/>
        <w:rPr>
          <w:rFonts w:ascii="宋体" w:hAnsi="宋体" w:cs="仿宋"/>
          <w:color w:val="auto"/>
          <w:sz w:val="28"/>
          <w:szCs w:val="28"/>
          <w:highlight w:val="none"/>
        </w:rPr>
      </w:pPr>
      <w:r>
        <w:rPr>
          <w:rFonts w:hint="eastAsia" w:ascii="宋体" w:hAnsi="宋体" w:cs="仿宋"/>
          <w:color w:val="auto"/>
          <w:sz w:val="28"/>
          <w:szCs w:val="28"/>
          <w:highlight w:val="none"/>
        </w:rPr>
        <w:t xml:space="preserve">         参 选 人：</w:t>
      </w:r>
      <w:r>
        <w:rPr>
          <w:rFonts w:hint="eastAsia" w:ascii="宋体" w:hAnsi="宋体" w:cs="仿宋"/>
          <w:color w:val="auto"/>
          <w:sz w:val="28"/>
          <w:szCs w:val="28"/>
          <w:highlight w:val="none"/>
          <w:u w:val="single"/>
        </w:rPr>
        <w:t xml:space="preserve">    （参选人公章）       </w:t>
      </w:r>
    </w:p>
    <w:p w14:paraId="304F4195">
      <w:pPr>
        <w:shd w:val="clear"/>
        <w:spacing w:line="360" w:lineRule="auto"/>
        <w:rPr>
          <w:rFonts w:hint="eastAsia" w:ascii="宋体" w:hAnsi="宋体" w:cs="仿宋"/>
          <w:color w:val="auto"/>
          <w:sz w:val="28"/>
          <w:szCs w:val="28"/>
          <w:highlight w:val="none"/>
        </w:rPr>
      </w:pPr>
      <w:r>
        <w:rPr>
          <w:rFonts w:hint="eastAsia" w:ascii="宋体" w:hAnsi="宋体" w:cs="仿宋"/>
          <w:color w:val="auto"/>
          <w:sz w:val="28"/>
          <w:szCs w:val="28"/>
          <w:highlight w:val="none"/>
        </w:rPr>
        <w:t xml:space="preserve">         法定代表人：</w:t>
      </w:r>
    </w:p>
    <w:p w14:paraId="4C1AF10D">
      <w:pPr>
        <w:shd w:val="clear"/>
        <w:spacing w:line="360" w:lineRule="auto"/>
        <w:ind w:firstLine="1400" w:firstLineChars="500"/>
        <w:rPr>
          <w:rFonts w:ascii="宋体" w:hAnsi="宋体" w:cs="仿宋"/>
          <w:color w:val="auto"/>
          <w:sz w:val="28"/>
          <w:szCs w:val="28"/>
          <w:highlight w:val="none"/>
          <w:u w:val="single"/>
        </w:rPr>
      </w:pPr>
      <w:r>
        <w:rPr>
          <w:rFonts w:hint="eastAsia" w:ascii="宋体" w:hAnsi="宋体"/>
          <w:color w:val="auto"/>
          <w:sz w:val="28"/>
          <w:szCs w:val="28"/>
          <w:highlight w:val="none"/>
        </w:rPr>
        <w:t>委托代理人</w:t>
      </w:r>
      <w:r>
        <w:rPr>
          <w:rFonts w:hint="eastAsia" w:ascii="宋体" w:hAnsi="宋体" w:cs="仿宋"/>
          <w:color w:val="auto"/>
          <w:sz w:val="28"/>
          <w:szCs w:val="28"/>
          <w:highlight w:val="none"/>
        </w:rPr>
        <w:t>：</w:t>
      </w:r>
    </w:p>
    <w:p w14:paraId="2330A6FA">
      <w:pPr>
        <w:shd w:val="clear"/>
        <w:spacing w:line="360" w:lineRule="auto"/>
        <w:rPr>
          <w:rFonts w:ascii="宋体" w:hAnsi="宋体" w:cs="仿宋"/>
          <w:color w:val="auto"/>
          <w:sz w:val="28"/>
          <w:szCs w:val="28"/>
          <w:highlight w:val="none"/>
          <w:u w:val="single"/>
        </w:rPr>
      </w:pPr>
      <w:r>
        <w:rPr>
          <w:rFonts w:hint="eastAsia" w:ascii="宋体" w:hAnsi="宋体" w:cs="仿宋"/>
          <w:color w:val="auto"/>
          <w:sz w:val="28"/>
          <w:szCs w:val="28"/>
          <w:highlight w:val="none"/>
        </w:rPr>
        <w:t xml:space="preserve">         联系电话：</w:t>
      </w:r>
    </w:p>
    <w:p w14:paraId="2A42BA97">
      <w:pPr>
        <w:shd w:val="clear"/>
        <w:spacing w:line="360" w:lineRule="auto"/>
        <w:rPr>
          <w:rFonts w:ascii="宋体" w:hAnsi="宋体" w:cs="仿宋"/>
          <w:color w:val="auto"/>
          <w:sz w:val="28"/>
          <w:szCs w:val="28"/>
          <w:highlight w:val="none"/>
        </w:rPr>
      </w:pPr>
    </w:p>
    <w:p w14:paraId="50A90415">
      <w:pPr>
        <w:shd w:val="clear"/>
        <w:spacing w:line="360" w:lineRule="auto"/>
        <w:jc w:val="center"/>
        <w:rPr>
          <w:rFonts w:ascii="宋体" w:hAnsi="宋体" w:cs="仿宋"/>
          <w:color w:val="auto"/>
          <w:sz w:val="28"/>
          <w:szCs w:val="28"/>
          <w:highlight w:val="none"/>
        </w:rPr>
      </w:pPr>
      <w:r>
        <w:rPr>
          <w:rFonts w:hint="eastAsia" w:ascii="宋体" w:hAnsi="宋体" w:cs="仿宋"/>
          <w:color w:val="auto"/>
          <w:sz w:val="28"/>
          <w:szCs w:val="28"/>
          <w:highlight w:val="none"/>
        </w:rPr>
        <w:t>参选日期：   年  月  日</w:t>
      </w:r>
    </w:p>
    <w:p w14:paraId="2B37EDF3">
      <w:pPr>
        <w:pStyle w:val="11"/>
        <w:shd w:val="clear"/>
        <w:ind w:left="0" w:leftChars="0"/>
        <w:rPr>
          <w:color w:val="auto"/>
          <w:highlight w:val="none"/>
        </w:rPr>
      </w:pPr>
    </w:p>
    <w:p w14:paraId="58F47FE1">
      <w:pPr>
        <w:widowControl w:val="0"/>
        <w:shd w:val="clear"/>
        <w:spacing w:beforeLines="50" w:afterLines="50" w:line="360" w:lineRule="auto"/>
        <w:jc w:val="center"/>
        <w:rPr>
          <w:rFonts w:ascii="宋体" w:hAnsi="宋体" w:cs="宋体"/>
          <w:b/>
          <w:color w:val="auto"/>
          <w:sz w:val="36"/>
          <w:szCs w:val="36"/>
          <w:highlight w:val="none"/>
        </w:rPr>
      </w:pPr>
    </w:p>
    <w:p w14:paraId="12241F20">
      <w:pPr>
        <w:widowControl w:val="0"/>
        <w:shd w:val="clear"/>
        <w:spacing w:line="360" w:lineRule="auto"/>
        <w:ind w:firstLine="562"/>
        <w:jc w:val="center"/>
        <w:rPr>
          <w:rFonts w:ascii="宋体" w:hAnsi="宋体" w:cs="宋体"/>
          <w:color w:val="auto"/>
          <w:sz w:val="28"/>
          <w:szCs w:val="28"/>
          <w:highlight w:val="none"/>
        </w:rPr>
      </w:pPr>
      <w:r>
        <w:rPr>
          <w:rFonts w:hint="eastAsia" w:ascii="宋体" w:hAnsi="宋体" w:cs="宋体"/>
          <w:b/>
          <w:color w:val="auto"/>
          <w:sz w:val="36"/>
          <w:szCs w:val="36"/>
          <w:highlight w:val="none"/>
        </w:rPr>
        <w:t>目  录</w:t>
      </w:r>
    </w:p>
    <w:p w14:paraId="58A2B55F">
      <w:pPr>
        <w:pStyle w:val="12"/>
        <w:shd w:val="clear"/>
        <w:spacing w:line="360" w:lineRule="auto"/>
        <w:rPr>
          <w:color w:val="auto"/>
          <w:highlight w:val="none"/>
        </w:rPr>
      </w:pPr>
      <w:r>
        <w:rPr>
          <w:rFonts w:hint="eastAsia"/>
          <w:color w:val="auto"/>
          <w:highlight w:val="none"/>
        </w:rPr>
        <w:t>由参选人自行编制</w:t>
      </w:r>
    </w:p>
    <w:p w14:paraId="0D892078">
      <w:pPr>
        <w:pStyle w:val="12"/>
        <w:shd w:val="clear"/>
        <w:spacing w:line="360" w:lineRule="auto"/>
        <w:rPr>
          <w:color w:val="auto"/>
          <w:highlight w:val="none"/>
        </w:rPr>
      </w:pPr>
    </w:p>
    <w:p w14:paraId="2585BE76">
      <w:pPr>
        <w:pStyle w:val="12"/>
        <w:shd w:val="clear"/>
        <w:spacing w:line="360" w:lineRule="auto"/>
        <w:rPr>
          <w:color w:val="auto"/>
          <w:highlight w:val="none"/>
        </w:rPr>
      </w:pPr>
    </w:p>
    <w:p w14:paraId="5D64936B">
      <w:pPr>
        <w:pStyle w:val="12"/>
        <w:shd w:val="clear"/>
        <w:spacing w:line="360" w:lineRule="auto"/>
        <w:rPr>
          <w:color w:val="auto"/>
          <w:highlight w:val="none"/>
        </w:rPr>
      </w:pPr>
    </w:p>
    <w:p w14:paraId="17F4A20C">
      <w:pPr>
        <w:pStyle w:val="12"/>
        <w:shd w:val="clear"/>
        <w:spacing w:line="360" w:lineRule="auto"/>
        <w:rPr>
          <w:color w:val="auto"/>
          <w:highlight w:val="none"/>
        </w:rPr>
      </w:pPr>
    </w:p>
    <w:p w14:paraId="18469DBD">
      <w:pPr>
        <w:pStyle w:val="12"/>
        <w:shd w:val="clear"/>
        <w:spacing w:line="360" w:lineRule="auto"/>
        <w:rPr>
          <w:color w:val="auto"/>
          <w:highlight w:val="none"/>
        </w:rPr>
      </w:pPr>
    </w:p>
    <w:p w14:paraId="35359B56">
      <w:pPr>
        <w:pStyle w:val="12"/>
        <w:shd w:val="clear"/>
        <w:spacing w:line="360" w:lineRule="auto"/>
        <w:rPr>
          <w:color w:val="auto"/>
          <w:highlight w:val="none"/>
        </w:rPr>
      </w:pPr>
    </w:p>
    <w:p w14:paraId="2B753412">
      <w:pPr>
        <w:pStyle w:val="12"/>
        <w:shd w:val="clear"/>
        <w:spacing w:line="360" w:lineRule="auto"/>
        <w:rPr>
          <w:color w:val="auto"/>
          <w:highlight w:val="none"/>
        </w:rPr>
      </w:pPr>
    </w:p>
    <w:p w14:paraId="240A031C">
      <w:pPr>
        <w:pStyle w:val="12"/>
        <w:shd w:val="clear"/>
        <w:spacing w:line="360" w:lineRule="auto"/>
        <w:rPr>
          <w:color w:val="auto"/>
          <w:highlight w:val="none"/>
        </w:rPr>
      </w:pPr>
    </w:p>
    <w:p w14:paraId="6B276C20">
      <w:pPr>
        <w:shd w:val="clear"/>
        <w:spacing w:line="360" w:lineRule="auto"/>
        <w:rPr>
          <w:rFonts w:asciiTheme="minorHAnsi" w:hAnsiTheme="minorHAnsi" w:cstheme="minorBidi"/>
          <w:color w:val="auto"/>
          <w:kern w:val="2"/>
          <w:sz w:val="21"/>
          <w:highlight w:val="none"/>
        </w:rPr>
      </w:pPr>
      <w:r>
        <w:rPr>
          <w:rFonts w:asciiTheme="minorHAnsi" w:hAnsiTheme="minorHAnsi" w:cstheme="minorBidi"/>
          <w:color w:val="auto"/>
          <w:kern w:val="2"/>
          <w:sz w:val="21"/>
          <w:highlight w:val="none"/>
        </w:rPr>
        <w:br w:type="page"/>
      </w:r>
    </w:p>
    <w:p w14:paraId="43CF9BC4">
      <w:pPr>
        <w:widowControl w:val="0"/>
        <w:shd w:val="clear"/>
        <w:spacing w:line="360" w:lineRule="auto"/>
        <w:ind w:firstLine="562"/>
        <w:jc w:val="center"/>
        <w:rPr>
          <w:rFonts w:ascii="宋体" w:hAnsi="宋体" w:cs="宋体"/>
          <w:b/>
          <w:color w:val="auto"/>
          <w:sz w:val="36"/>
          <w:szCs w:val="36"/>
          <w:highlight w:val="none"/>
        </w:rPr>
      </w:pPr>
      <w:r>
        <w:rPr>
          <w:rFonts w:hint="eastAsia" w:ascii="宋体" w:hAnsi="宋体" w:cs="宋体"/>
          <w:b/>
          <w:color w:val="auto"/>
          <w:sz w:val="36"/>
          <w:szCs w:val="36"/>
          <w:highlight w:val="none"/>
        </w:rPr>
        <w:t>初步审查导航表</w:t>
      </w:r>
    </w:p>
    <w:tbl>
      <w:tblPr>
        <w:tblStyle w:val="34"/>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559"/>
        <w:gridCol w:w="5103"/>
        <w:gridCol w:w="1842"/>
      </w:tblGrid>
      <w:tr w14:paraId="0455E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676" w:type="dxa"/>
            <w:tcBorders>
              <w:top w:val="single" w:color="auto" w:sz="4" w:space="0"/>
            </w:tcBorders>
            <w:vAlign w:val="center"/>
          </w:tcPr>
          <w:p w14:paraId="3F75E316">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6662" w:type="dxa"/>
            <w:gridSpan w:val="2"/>
            <w:tcBorders>
              <w:top w:val="single" w:color="auto" w:sz="4" w:space="0"/>
              <w:tl2br w:val="nil"/>
            </w:tcBorders>
            <w:vAlign w:val="center"/>
          </w:tcPr>
          <w:p w14:paraId="24754FBB">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资格要求</w:t>
            </w:r>
          </w:p>
        </w:tc>
        <w:tc>
          <w:tcPr>
            <w:tcW w:w="1842" w:type="dxa"/>
            <w:tcBorders>
              <w:top w:val="single" w:color="auto" w:sz="4" w:space="0"/>
            </w:tcBorders>
            <w:vAlign w:val="center"/>
          </w:tcPr>
          <w:p w14:paraId="0DBA6AB1">
            <w:pPr>
              <w:widowControl w:val="0"/>
              <w:shd w:val="clear"/>
              <w:spacing w:beforeLines="50" w:afterLines="50" w:line="360" w:lineRule="auto"/>
              <w:rPr>
                <w:rFonts w:ascii="宋体" w:hAnsi="宋体" w:cs="宋体"/>
                <w:color w:val="auto"/>
                <w:sz w:val="21"/>
                <w:szCs w:val="21"/>
                <w:highlight w:val="none"/>
              </w:rPr>
            </w:pPr>
            <w:r>
              <w:rPr>
                <w:rFonts w:hint="eastAsia" w:ascii="宋体" w:hAnsi="宋体" w:cs="宋体"/>
                <w:color w:val="auto"/>
                <w:sz w:val="21"/>
                <w:szCs w:val="21"/>
                <w:highlight w:val="none"/>
              </w:rPr>
              <w:t>响应文件导航</w:t>
            </w:r>
          </w:p>
        </w:tc>
      </w:tr>
      <w:tr w14:paraId="72CFD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14:paraId="5743EE84">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59" w:type="dxa"/>
            <w:vMerge w:val="restart"/>
            <w:vAlign w:val="center"/>
          </w:tcPr>
          <w:p w14:paraId="7BF4A730">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经营资格审查</w:t>
            </w:r>
          </w:p>
        </w:tc>
        <w:tc>
          <w:tcPr>
            <w:tcW w:w="5103" w:type="dxa"/>
            <w:vAlign w:val="center"/>
          </w:tcPr>
          <w:p w14:paraId="6AD0DAAD">
            <w:pPr>
              <w:pStyle w:val="142"/>
              <w:shd w:val="clear"/>
              <w:rPr>
                <w:rFonts w:ascii="宋体" w:hAnsi="宋体" w:cs="宋体"/>
                <w:color w:val="auto"/>
                <w:sz w:val="21"/>
                <w:szCs w:val="21"/>
                <w:highlight w:val="none"/>
              </w:rPr>
            </w:pPr>
          </w:p>
        </w:tc>
        <w:tc>
          <w:tcPr>
            <w:tcW w:w="1842" w:type="dxa"/>
            <w:vAlign w:val="center"/>
          </w:tcPr>
          <w:p w14:paraId="5D3CBAF8">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2BF06E86">
            <w:pPr>
              <w:pStyle w:val="141"/>
              <w:shd w:val="clear"/>
              <w:rPr>
                <w:rFonts w:ascii="宋体" w:hAnsi="宋体" w:cs="宋体"/>
                <w:color w:val="auto"/>
                <w:szCs w:val="21"/>
                <w:highlight w:val="none"/>
              </w:rPr>
            </w:pPr>
            <w:r>
              <w:rPr>
                <w:rFonts w:hint="eastAsia" w:ascii="宋体" w:hAnsi="宋体" w:cs="宋体"/>
                <w:color w:val="auto"/>
                <w:szCs w:val="21"/>
                <w:highlight w:val="none"/>
              </w:rPr>
              <w:t>页码范围：</w:t>
            </w:r>
          </w:p>
        </w:tc>
      </w:tr>
      <w:tr w14:paraId="74026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14:paraId="7B415F3E">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59" w:type="dxa"/>
            <w:vMerge w:val="continue"/>
            <w:vAlign w:val="center"/>
          </w:tcPr>
          <w:p w14:paraId="2A120ABE">
            <w:pPr>
              <w:pStyle w:val="141"/>
              <w:shd w:val="clear"/>
              <w:jc w:val="center"/>
              <w:rPr>
                <w:rFonts w:ascii="宋体" w:hAnsi="宋体" w:cs="宋体"/>
                <w:color w:val="auto"/>
                <w:szCs w:val="21"/>
                <w:highlight w:val="none"/>
              </w:rPr>
            </w:pPr>
          </w:p>
        </w:tc>
        <w:tc>
          <w:tcPr>
            <w:tcW w:w="5103" w:type="dxa"/>
            <w:vAlign w:val="center"/>
          </w:tcPr>
          <w:p w14:paraId="2413194A">
            <w:pPr>
              <w:widowControl w:val="0"/>
              <w:shd w:val="clear"/>
              <w:spacing w:line="360" w:lineRule="auto"/>
              <w:rPr>
                <w:rFonts w:ascii="宋体" w:hAnsi="宋体" w:cs="宋体"/>
                <w:color w:val="auto"/>
                <w:sz w:val="21"/>
                <w:szCs w:val="21"/>
                <w:highlight w:val="none"/>
              </w:rPr>
            </w:pPr>
          </w:p>
        </w:tc>
        <w:tc>
          <w:tcPr>
            <w:tcW w:w="1842" w:type="dxa"/>
            <w:vAlign w:val="center"/>
          </w:tcPr>
          <w:p w14:paraId="068EB2A3">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2B012134">
            <w:pPr>
              <w:widowControl w:val="0"/>
              <w:shd w:val="clear"/>
              <w:spacing w:line="360" w:lineRule="auto"/>
              <w:jc w:val="both"/>
              <w:rPr>
                <w:rFonts w:ascii="宋体" w:hAnsi="宋体" w:cs="宋体"/>
                <w:color w:val="auto"/>
                <w:szCs w:val="21"/>
                <w:highlight w:val="none"/>
              </w:rPr>
            </w:pPr>
            <w:r>
              <w:rPr>
                <w:rFonts w:hint="eastAsia" w:ascii="宋体" w:hAnsi="宋体" w:cs="宋体"/>
                <w:color w:val="auto"/>
                <w:sz w:val="21"/>
                <w:szCs w:val="21"/>
                <w:highlight w:val="none"/>
              </w:rPr>
              <w:t>页码范围：</w:t>
            </w:r>
          </w:p>
        </w:tc>
      </w:tr>
      <w:tr w14:paraId="6156C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14:paraId="5A73BCF0">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59" w:type="dxa"/>
            <w:vMerge w:val="continue"/>
            <w:vAlign w:val="center"/>
          </w:tcPr>
          <w:p w14:paraId="4C758FAE">
            <w:pPr>
              <w:pStyle w:val="141"/>
              <w:shd w:val="clear"/>
              <w:jc w:val="center"/>
              <w:rPr>
                <w:rFonts w:ascii="宋体" w:hAnsi="宋体" w:cs="宋体"/>
                <w:color w:val="auto"/>
                <w:szCs w:val="21"/>
                <w:highlight w:val="none"/>
              </w:rPr>
            </w:pPr>
          </w:p>
        </w:tc>
        <w:tc>
          <w:tcPr>
            <w:tcW w:w="5103" w:type="dxa"/>
            <w:vAlign w:val="center"/>
          </w:tcPr>
          <w:p w14:paraId="23DCAFB3">
            <w:pPr>
              <w:pStyle w:val="142"/>
              <w:shd w:val="clear"/>
              <w:rPr>
                <w:rFonts w:ascii="宋体" w:hAnsi="宋体" w:cs="宋体"/>
                <w:color w:val="auto"/>
                <w:sz w:val="21"/>
                <w:szCs w:val="21"/>
                <w:highlight w:val="none"/>
              </w:rPr>
            </w:pPr>
          </w:p>
        </w:tc>
        <w:tc>
          <w:tcPr>
            <w:tcW w:w="1842" w:type="dxa"/>
            <w:vAlign w:val="center"/>
          </w:tcPr>
          <w:p w14:paraId="35F63C2E">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048DBB7F">
            <w:pPr>
              <w:widowControl w:val="0"/>
              <w:shd w:val="clear"/>
              <w:spacing w:line="360" w:lineRule="auto"/>
              <w:jc w:val="both"/>
              <w:rPr>
                <w:rFonts w:ascii="宋体" w:hAnsi="宋体" w:cs="宋体"/>
                <w:color w:val="auto"/>
                <w:highlight w:val="none"/>
              </w:rPr>
            </w:pPr>
            <w:r>
              <w:rPr>
                <w:rFonts w:hint="eastAsia" w:ascii="宋体" w:hAnsi="宋体" w:cs="宋体"/>
                <w:color w:val="auto"/>
                <w:sz w:val="21"/>
                <w:szCs w:val="21"/>
                <w:highlight w:val="none"/>
              </w:rPr>
              <w:t>页码范围：</w:t>
            </w:r>
          </w:p>
        </w:tc>
      </w:tr>
      <w:tr w14:paraId="4C9EC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14:paraId="5741EBBF">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59" w:type="dxa"/>
            <w:vMerge w:val="continue"/>
            <w:vAlign w:val="center"/>
          </w:tcPr>
          <w:p w14:paraId="46C9C332">
            <w:pPr>
              <w:pStyle w:val="141"/>
              <w:shd w:val="clear"/>
              <w:jc w:val="center"/>
              <w:rPr>
                <w:rFonts w:ascii="宋体" w:hAnsi="宋体" w:cs="宋体"/>
                <w:color w:val="auto"/>
                <w:szCs w:val="21"/>
                <w:highlight w:val="none"/>
              </w:rPr>
            </w:pPr>
          </w:p>
        </w:tc>
        <w:tc>
          <w:tcPr>
            <w:tcW w:w="5103" w:type="dxa"/>
            <w:vAlign w:val="center"/>
          </w:tcPr>
          <w:p w14:paraId="4AC9DD6A">
            <w:pPr>
              <w:pStyle w:val="142"/>
              <w:shd w:val="clear"/>
              <w:rPr>
                <w:rFonts w:ascii="宋体" w:hAnsi="宋体" w:cs="宋体"/>
                <w:color w:val="auto"/>
                <w:sz w:val="21"/>
                <w:szCs w:val="21"/>
                <w:highlight w:val="none"/>
              </w:rPr>
            </w:pPr>
          </w:p>
        </w:tc>
        <w:tc>
          <w:tcPr>
            <w:tcW w:w="1842" w:type="dxa"/>
            <w:vAlign w:val="center"/>
          </w:tcPr>
          <w:p w14:paraId="7ECB7DAF">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334FEFFC">
            <w:pPr>
              <w:widowControl w:val="0"/>
              <w:shd w:val="clear"/>
              <w:spacing w:line="360" w:lineRule="auto"/>
              <w:jc w:val="both"/>
              <w:rPr>
                <w:rFonts w:ascii="宋体" w:hAnsi="宋体" w:cs="宋体"/>
                <w:color w:val="auto"/>
                <w:szCs w:val="21"/>
                <w:highlight w:val="none"/>
              </w:rPr>
            </w:pPr>
            <w:r>
              <w:rPr>
                <w:rFonts w:hint="eastAsia" w:ascii="宋体" w:hAnsi="宋体" w:cs="宋体"/>
                <w:color w:val="auto"/>
                <w:sz w:val="21"/>
                <w:szCs w:val="21"/>
                <w:highlight w:val="none"/>
              </w:rPr>
              <w:t>页码范围：</w:t>
            </w:r>
          </w:p>
        </w:tc>
      </w:tr>
      <w:tr w14:paraId="22B11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14:paraId="6370DF2E">
            <w:pPr>
              <w:pStyle w:val="141"/>
              <w:shd w:val="clea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559" w:type="dxa"/>
            <w:vAlign w:val="center"/>
          </w:tcPr>
          <w:p w14:paraId="15EACDA2">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专业资格审查</w:t>
            </w:r>
          </w:p>
        </w:tc>
        <w:tc>
          <w:tcPr>
            <w:tcW w:w="5103" w:type="dxa"/>
            <w:vAlign w:val="center"/>
          </w:tcPr>
          <w:p w14:paraId="4617AC25">
            <w:pPr>
              <w:pStyle w:val="142"/>
              <w:shd w:val="clear"/>
              <w:rPr>
                <w:rFonts w:ascii="宋体" w:hAnsi="宋体" w:cs="宋体"/>
                <w:color w:val="auto"/>
                <w:sz w:val="21"/>
                <w:szCs w:val="21"/>
                <w:highlight w:val="none"/>
              </w:rPr>
            </w:pPr>
          </w:p>
        </w:tc>
        <w:tc>
          <w:tcPr>
            <w:tcW w:w="1842" w:type="dxa"/>
            <w:vAlign w:val="center"/>
          </w:tcPr>
          <w:p w14:paraId="1D98F0A5">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4688B9EF">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页码范围：</w:t>
            </w:r>
          </w:p>
        </w:tc>
      </w:tr>
      <w:tr w14:paraId="1CB2F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676" w:type="dxa"/>
            <w:vAlign w:val="center"/>
          </w:tcPr>
          <w:p w14:paraId="79BA23C8">
            <w:pPr>
              <w:widowControl w:val="0"/>
              <w:shd w:val="clear"/>
              <w:spacing w:line="360" w:lineRule="auto"/>
              <w:ind w:firstLine="210" w:firstLineChars="100"/>
              <w:rPr>
                <w:rFonts w:hint="eastAsia" w:ascii="宋体" w:hAnsi="宋体" w:eastAsia="宋体" w:cs="宋体"/>
                <w:color w:val="auto"/>
                <w:sz w:val="21"/>
                <w:szCs w:val="21"/>
                <w:highlight w:val="none"/>
                <w:lang w:eastAsia="zh-CN"/>
              </w:rPr>
            </w:pPr>
            <w:r>
              <w:rPr>
                <w:rFonts w:hint="eastAsia" w:ascii="宋体" w:hAnsi="宋体" w:cs="宋体"/>
                <w:color w:val="auto"/>
                <w:kern w:val="2"/>
                <w:sz w:val="21"/>
                <w:szCs w:val="21"/>
                <w:highlight w:val="none"/>
                <w:lang w:val="en-US" w:eastAsia="zh-CN"/>
              </w:rPr>
              <w:t>6</w:t>
            </w:r>
          </w:p>
        </w:tc>
        <w:tc>
          <w:tcPr>
            <w:tcW w:w="1559" w:type="dxa"/>
            <w:vAlign w:val="center"/>
          </w:tcPr>
          <w:p w14:paraId="7413C4F2">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商务要求</w:t>
            </w:r>
          </w:p>
        </w:tc>
        <w:tc>
          <w:tcPr>
            <w:tcW w:w="5103" w:type="dxa"/>
            <w:tcBorders>
              <w:bottom w:val="single" w:color="auto" w:sz="4" w:space="0"/>
            </w:tcBorders>
            <w:vAlign w:val="center"/>
          </w:tcPr>
          <w:p w14:paraId="2F8DD3B2">
            <w:pPr>
              <w:pStyle w:val="141"/>
              <w:shd w:val="clear"/>
              <w:rPr>
                <w:rFonts w:ascii="宋体" w:hAnsi="宋体" w:cs="宋体"/>
                <w:color w:val="auto"/>
                <w:szCs w:val="21"/>
                <w:highlight w:val="none"/>
              </w:rPr>
            </w:pPr>
          </w:p>
        </w:tc>
        <w:tc>
          <w:tcPr>
            <w:tcW w:w="1842" w:type="dxa"/>
            <w:tcBorders>
              <w:bottom w:val="single" w:color="auto" w:sz="4" w:space="0"/>
            </w:tcBorders>
            <w:vAlign w:val="center"/>
          </w:tcPr>
          <w:p w14:paraId="7BDA7438">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7A922738">
            <w:pPr>
              <w:widowControl w:val="0"/>
              <w:shd w:val="clear"/>
              <w:spacing w:line="360" w:lineRule="auto"/>
              <w:jc w:val="both"/>
              <w:rPr>
                <w:rFonts w:ascii="宋体" w:hAnsi="宋体" w:cs="宋体"/>
                <w:color w:val="auto"/>
                <w:highlight w:val="none"/>
              </w:rPr>
            </w:pPr>
            <w:r>
              <w:rPr>
                <w:rFonts w:hint="eastAsia" w:ascii="宋体" w:hAnsi="宋体" w:cs="宋体"/>
                <w:color w:val="auto"/>
                <w:sz w:val="21"/>
                <w:szCs w:val="21"/>
                <w:highlight w:val="none"/>
              </w:rPr>
              <w:t>页码范围：</w:t>
            </w:r>
          </w:p>
        </w:tc>
      </w:tr>
      <w:tr w14:paraId="0EC2A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676" w:type="dxa"/>
            <w:vAlign w:val="center"/>
          </w:tcPr>
          <w:p w14:paraId="57B8C623">
            <w:pPr>
              <w:pStyle w:val="141"/>
              <w:shd w:val="clea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559" w:type="dxa"/>
            <w:vAlign w:val="center"/>
          </w:tcPr>
          <w:p w14:paraId="0AB6B9B1">
            <w:pPr>
              <w:pStyle w:val="141"/>
              <w:shd w:val="clear"/>
              <w:jc w:val="center"/>
              <w:rPr>
                <w:rFonts w:ascii="宋体" w:hAnsi="宋体" w:cs="宋体"/>
                <w:color w:val="auto"/>
                <w:szCs w:val="21"/>
                <w:highlight w:val="none"/>
              </w:rPr>
            </w:pPr>
            <w:r>
              <w:rPr>
                <w:rFonts w:hint="eastAsia" w:ascii="宋体" w:hAnsi="宋体" w:cs="宋体"/>
                <w:color w:val="auto"/>
                <w:szCs w:val="21"/>
                <w:highlight w:val="none"/>
              </w:rPr>
              <w:t>承诺</w:t>
            </w:r>
          </w:p>
        </w:tc>
        <w:tc>
          <w:tcPr>
            <w:tcW w:w="5103" w:type="dxa"/>
            <w:vAlign w:val="center"/>
          </w:tcPr>
          <w:p w14:paraId="20613B11">
            <w:pPr>
              <w:pStyle w:val="141"/>
              <w:shd w:val="clear"/>
              <w:jc w:val="left"/>
              <w:rPr>
                <w:rFonts w:ascii="宋体" w:hAnsi="宋体" w:cs="宋体"/>
                <w:color w:val="auto"/>
                <w:szCs w:val="21"/>
                <w:highlight w:val="none"/>
              </w:rPr>
            </w:pPr>
          </w:p>
        </w:tc>
        <w:tc>
          <w:tcPr>
            <w:tcW w:w="1842" w:type="dxa"/>
            <w:vAlign w:val="center"/>
          </w:tcPr>
          <w:p w14:paraId="701FB781">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19246AB8">
            <w:pPr>
              <w:pStyle w:val="141"/>
              <w:shd w:val="clear"/>
              <w:rPr>
                <w:rFonts w:ascii="宋体" w:hAnsi="宋体" w:cs="宋体"/>
                <w:color w:val="auto"/>
                <w:szCs w:val="21"/>
                <w:highlight w:val="none"/>
              </w:rPr>
            </w:pPr>
            <w:r>
              <w:rPr>
                <w:rFonts w:hint="eastAsia" w:ascii="宋体" w:hAnsi="宋体" w:cs="宋体"/>
                <w:color w:val="auto"/>
                <w:szCs w:val="21"/>
                <w:highlight w:val="none"/>
              </w:rPr>
              <w:t>页码范围：</w:t>
            </w:r>
          </w:p>
        </w:tc>
      </w:tr>
      <w:tr w14:paraId="5EC2C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676" w:type="dxa"/>
            <w:tcBorders>
              <w:bottom w:val="single" w:color="auto" w:sz="4" w:space="0"/>
            </w:tcBorders>
            <w:vAlign w:val="center"/>
          </w:tcPr>
          <w:p w14:paraId="23773927">
            <w:pPr>
              <w:pStyle w:val="141"/>
              <w:shd w:val="clea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1559" w:type="dxa"/>
            <w:vAlign w:val="center"/>
          </w:tcPr>
          <w:p w14:paraId="4D91F3CA">
            <w:pPr>
              <w:pStyle w:val="141"/>
              <w:shd w:val="clear"/>
              <w:jc w:val="center"/>
              <w:rPr>
                <w:rFonts w:hint="eastAsia" w:ascii="宋体" w:hAnsi="宋体" w:cs="宋体"/>
                <w:color w:val="auto"/>
                <w:szCs w:val="21"/>
                <w:highlight w:val="none"/>
              </w:rPr>
            </w:pPr>
            <w:r>
              <w:rPr>
                <w:rFonts w:hint="eastAsia" w:ascii="宋体" w:hAnsi="宋体" w:cs="宋体"/>
                <w:color w:val="auto"/>
                <w:highlight w:val="none"/>
              </w:rPr>
              <w:t>无效响应文件审查</w:t>
            </w:r>
          </w:p>
        </w:tc>
        <w:tc>
          <w:tcPr>
            <w:tcW w:w="5103" w:type="dxa"/>
            <w:tcBorders>
              <w:bottom w:val="single" w:color="auto" w:sz="4" w:space="0"/>
            </w:tcBorders>
            <w:vAlign w:val="center"/>
          </w:tcPr>
          <w:p w14:paraId="3DA915AD">
            <w:pPr>
              <w:pStyle w:val="141"/>
              <w:shd w:val="clear"/>
              <w:jc w:val="left"/>
              <w:rPr>
                <w:rFonts w:ascii="宋体" w:hAnsi="宋体" w:cs="宋体"/>
                <w:color w:val="auto"/>
                <w:szCs w:val="21"/>
                <w:highlight w:val="none"/>
              </w:rPr>
            </w:pPr>
          </w:p>
        </w:tc>
        <w:tc>
          <w:tcPr>
            <w:tcW w:w="1842" w:type="dxa"/>
            <w:tcBorders>
              <w:bottom w:val="single" w:color="auto" w:sz="4" w:space="0"/>
            </w:tcBorders>
            <w:vAlign w:val="center"/>
          </w:tcPr>
          <w:p w14:paraId="6E22A88B">
            <w:pPr>
              <w:pStyle w:val="141"/>
              <w:shd w:val="clear"/>
              <w:rPr>
                <w:rFonts w:hint="eastAsia" w:ascii="宋体" w:hAnsi="宋体" w:cs="宋体"/>
                <w:color w:val="auto"/>
                <w:szCs w:val="21"/>
                <w:highlight w:val="none"/>
              </w:rPr>
            </w:pPr>
          </w:p>
        </w:tc>
      </w:tr>
    </w:tbl>
    <w:p w14:paraId="270A98F2">
      <w:pPr>
        <w:widowControl w:val="0"/>
        <w:shd w:val="clear"/>
        <w:spacing w:line="360" w:lineRule="auto"/>
        <w:ind w:firstLine="562"/>
        <w:jc w:val="center"/>
        <w:rPr>
          <w:rFonts w:ascii="宋体" w:hAnsi="宋体" w:cs="宋体"/>
          <w:color w:val="auto"/>
          <w:highlight w:val="none"/>
        </w:rPr>
      </w:pPr>
    </w:p>
    <w:p w14:paraId="0A85FDC0">
      <w:pPr>
        <w:widowControl w:val="0"/>
        <w:shd w:val="clear"/>
        <w:spacing w:line="360" w:lineRule="auto"/>
        <w:ind w:right="420" w:firstLine="480"/>
        <w:jc w:val="right"/>
        <w:rPr>
          <w:rFonts w:ascii="宋体" w:hAnsi="宋体" w:cs="宋体"/>
          <w:color w:val="auto"/>
          <w:szCs w:val="32"/>
          <w:highlight w:val="none"/>
        </w:rPr>
      </w:pPr>
      <w:r>
        <w:rPr>
          <w:rFonts w:hint="eastAsia" w:ascii="宋体" w:hAnsi="宋体" w:cs="宋体"/>
          <w:color w:val="auto"/>
          <w:szCs w:val="32"/>
          <w:highlight w:val="none"/>
        </w:rPr>
        <w:t>响应比选参与人：（公章）</w:t>
      </w:r>
    </w:p>
    <w:p w14:paraId="63C36690">
      <w:pPr>
        <w:widowControl w:val="0"/>
        <w:shd w:val="clear"/>
        <w:spacing w:beforeLines="50" w:afterLines="50" w:line="360" w:lineRule="auto"/>
        <w:ind w:firstLine="480" w:firstLineChars="200"/>
        <w:jc w:val="right"/>
        <w:rPr>
          <w:rFonts w:ascii="宋体" w:hAnsi="宋体" w:cs="宋体"/>
          <w:color w:val="auto"/>
          <w:szCs w:val="32"/>
          <w:highlight w:val="none"/>
        </w:rPr>
      </w:pPr>
      <w:r>
        <w:rPr>
          <w:rFonts w:hint="eastAsia" w:ascii="宋体" w:hAnsi="宋体" w:cs="宋体"/>
          <w:color w:val="auto"/>
          <w:szCs w:val="32"/>
          <w:highlight w:val="none"/>
        </w:rPr>
        <w:t>年     月     日</w:t>
      </w:r>
    </w:p>
    <w:p w14:paraId="547A8422">
      <w:pPr>
        <w:widowControl w:val="0"/>
        <w:shd w:val="clear"/>
        <w:spacing w:line="360" w:lineRule="auto"/>
        <w:ind w:firstLine="562"/>
        <w:jc w:val="center"/>
        <w:rPr>
          <w:rFonts w:ascii="宋体" w:hAnsi="宋体" w:cs="宋体"/>
          <w:color w:val="auto"/>
          <w:highlight w:val="none"/>
        </w:rPr>
      </w:pPr>
    </w:p>
    <w:p w14:paraId="30798D52">
      <w:pPr>
        <w:widowControl w:val="0"/>
        <w:shd w:val="clear"/>
        <w:spacing w:line="360" w:lineRule="auto"/>
        <w:ind w:firstLine="562"/>
        <w:jc w:val="center"/>
        <w:rPr>
          <w:rFonts w:ascii="宋体" w:hAnsi="宋体" w:cs="宋体"/>
          <w:color w:val="auto"/>
          <w:highlight w:val="none"/>
        </w:rPr>
      </w:pPr>
      <w:r>
        <w:rPr>
          <w:rFonts w:hint="eastAsia" w:ascii="宋体" w:hAnsi="宋体" w:cs="宋体"/>
          <w:color w:val="auto"/>
          <w:highlight w:val="none"/>
        </w:rPr>
        <w:t>根据本项目初步审查表逐项填写</w:t>
      </w:r>
    </w:p>
    <w:p w14:paraId="2FA1B7BC">
      <w:pPr>
        <w:shd w:val="clear"/>
        <w:spacing w:line="360" w:lineRule="auto"/>
        <w:rPr>
          <w:rFonts w:ascii="宋体" w:hAnsi="宋体" w:cs="宋体"/>
          <w:color w:val="auto"/>
          <w:highlight w:val="none"/>
        </w:rPr>
      </w:pPr>
      <w:r>
        <w:rPr>
          <w:rFonts w:ascii="宋体" w:hAnsi="宋体" w:cs="宋体"/>
          <w:color w:val="auto"/>
          <w:highlight w:val="none"/>
        </w:rPr>
        <w:br w:type="page"/>
      </w:r>
    </w:p>
    <w:p w14:paraId="61783928">
      <w:pPr>
        <w:widowControl w:val="0"/>
        <w:shd w:val="clear"/>
        <w:spacing w:line="360" w:lineRule="auto"/>
        <w:jc w:val="center"/>
        <w:rPr>
          <w:rFonts w:ascii="宋体" w:hAnsi="宋体" w:cs="宋体"/>
          <w:b/>
          <w:color w:val="auto"/>
          <w:sz w:val="28"/>
          <w:szCs w:val="28"/>
          <w:highlight w:val="none"/>
        </w:rPr>
      </w:pPr>
      <w:r>
        <w:rPr>
          <w:rFonts w:hint="eastAsia" w:ascii="宋体" w:hAnsi="宋体" w:cs="宋体"/>
          <w:b/>
          <w:color w:val="auto"/>
          <w:sz w:val="36"/>
          <w:szCs w:val="36"/>
          <w:highlight w:val="none"/>
        </w:rPr>
        <w:t>专家评分导航表</w:t>
      </w:r>
    </w:p>
    <w:p w14:paraId="11758438">
      <w:pPr>
        <w:widowControl w:val="0"/>
        <w:shd w:val="clear"/>
        <w:spacing w:line="360" w:lineRule="auto"/>
        <w:jc w:val="center"/>
        <w:rPr>
          <w:rFonts w:ascii="宋体" w:hAnsi="宋体" w:cs="宋体"/>
          <w:color w:val="auto"/>
          <w:sz w:val="28"/>
          <w:szCs w:val="28"/>
          <w:highlight w:val="none"/>
        </w:rPr>
      </w:pPr>
      <w:r>
        <w:rPr>
          <w:rFonts w:hint="eastAsia" w:ascii="宋体" w:hAnsi="宋体" w:cs="宋体"/>
          <w:color w:val="auto"/>
          <w:sz w:val="28"/>
          <w:szCs w:val="28"/>
          <w:highlight w:val="none"/>
        </w:rPr>
        <w:t>（格式仅供参考）</w:t>
      </w:r>
    </w:p>
    <w:tbl>
      <w:tblPr>
        <w:tblStyle w:val="34"/>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
        <w:gridCol w:w="1311"/>
        <w:gridCol w:w="763"/>
        <w:gridCol w:w="4773"/>
        <w:gridCol w:w="2040"/>
      </w:tblGrid>
      <w:tr w14:paraId="7D3B7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403" w:type="dxa"/>
            <w:vAlign w:val="center"/>
          </w:tcPr>
          <w:p w14:paraId="046D371C">
            <w:pPr>
              <w:shd w:val="clear"/>
              <w:spacing w:line="360" w:lineRule="auto"/>
              <w:jc w:val="center"/>
              <w:rPr>
                <w:rFonts w:ascii="宋体" w:hAnsi="宋体"/>
                <w:color w:val="auto"/>
                <w:highlight w:val="none"/>
              </w:rPr>
            </w:pPr>
            <w:r>
              <w:rPr>
                <w:rFonts w:hint="eastAsia" w:ascii="宋体" w:hAnsi="宋体"/>
                <w:color w:val="auto"/>
                <w:highlight w:val="none"/>
              </w:rPr>
              <w:t>序号</w:t>
            </w:r>
          </w:p>
        </w:tc>
        <w:tc>
          <w:tcPr>
            <w:tcW w:w="1311" w:type="dxa"/>
            <w:vAlign w:val="center"/>
          </w:tcPr>
          <w:p w14:paraId="3E785BF2">
            <w:pPr>
              <w:shd w:val="clear"/>
              <w:spacing w:line="360" w:lineRule="auto"/>
              <w:jc w:val="center"/>
              <w:rPr>
                <w:rFonts w:ascii="宋体" w:hAnsi="宋体"/>
                <w:color w:val="auto"/>
                <w:highlight w:val="none"/>
              </w:rPr>
            </w:pPr>
            <w:r>
              <w:rPr>
                <w:rFonts w:hint="eastAsia" w:ascii="宋体" w:hAnsi="宋体"/>
                <w:color w:val="auto"/>
                <w:highlight w:val="none"/>
              </w:rPr>
              <w:t>评分因素</w:t>
            </w:r>
          </w:p>
        </w:tc>
        <w:tc>
          <w:tcPr>
            <w:tcW w:w="763" w:type="dxa"/>
            <w:vAlign w:val="center"/>
          </w:tcPr>
          <w:p w14:paraId="6A52E400">
            <w:pPr>
              <w:shd w:val="clear"/>
              <w:spacing w:line="360" w:lineRule="auto"/>
              <w:jc w:val="center"/>
              <w:rPr>
                <w:rFonts w:ascii="宋体" w:hAnsi="宋体"/>
                <w:color w:val="auto"/>
                <w:highlight w:val="none"/>
              </w:rPr>
            </w:pPr>
            <w:r>
              <w:rPr>
                <w:rFonts w:hint="eastAsia" w:ascii="宋体" w:hAnsi="宋体"/>
                <w:color w:val="auto"/>
                <w:highlight w:val="none"/>
              </w:rPr>
              <w:t>分值</w:t>
            </w:r>
          </w:p>
        </w:tc>
        <w:tc>
          <w:tcPr>
            <w:tcW w:w="4773" w:type="dxa"/>
            <w:vAlign w:val="center"/>
          </w:tcPr>
          <w:p w14:paraId="1BADD8ED">
            <w:pPr>
              <w:shd w:val="clear"/>
              <w:spacing w:line="360" w:lineRule="auto"/>
              <w:ind w:firstLine="420"/>
              <w:jc w:val="center"/>
              <w:rPr>
                <w:rFonts w:ascii="宋体" w:hAnsi="宋体"/>
                <w:color w:val="auto"/>
                <w:highlight w:val="none"/>
              </w:rPr>
            </w:pPr>
            <w:r>
              <w:rPr>
                <w:rFonts w:hint="eastAsia" w:ascii="宋体" w:hAnsi="宋体"/>
                <w:color w:val="auto"/>
                <w:highlight w:val="none"/>
              </w:rPr>
              <w:t>评分标准</w:t>
            </w:r>
          </w:p>
        </w:tc>
        <w:tc>
          <w:tcPr>
            <w:tcW w:w="2040" w:type="dxa"/>
            <w:vAlign w:val="center"/>
          </w:tcPr>
          <w:p w14:paraId="02B49F7B">
            <w:pPr>
              <w:widowControl w:val="0"/>
              <w:shd w:val="clear"/>
              <w:spacing w:beforeLines="50" w:afterLines="50" w:line="360" w:lineRule="auto"/>
              <w:rPr>
                <w:rFonts w:ascii="宋体" w:hAnsi="宋体"/>
                <w:color w:val="auto"/>
                <w:highlight w:val="none"/>
              </w:rPr>
            </w:pPr>
            <w:r>
              <w:rPr>
                <w:rFonts w:hint="eastAsia" w:ascii="宋体" w:hAnsi="宋体" w:cs="宋体"/>
                <w:color w:val="auto"/>
                <w:sz w:val="21"/>
                <w:szCs w:val="21"/>
                <w:highlight w:val="none"/>
              </w:rPr>
              <w:t>响应文件导航</w:t>
            </w:r>
          </w:p>
        </w:tc>
      </w:tr>
      <w:tr w14:paraId="62961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03" w:type="dxa"/>
            <w:vAlign w:val="center"/>
          </w:tcPr>
          <w:p w14:paraId="501B82F1">
            <w:pPr>
              <w:shd w:val="clear"/>
              <w:spacing w:line="360" w:lineRule="auto"/>
              <w:jc w:val="center"/>
              <w:rPr>
                <w:rFonts w:ascii="宋体" w:hAnsi="宋体"/>
                <w:color w:val="auto"/>
                <w:highlight w:val="none"/>
              </w:rPr>
            </w:pPr>
            <w:r>
              <w:rPr>
                <w:rFonts w:hint="eastAsia" w:ascii="宋体" w:hAnsi="宋体"/>
                <w:color w:val="auto"/>
                <w:highlight w:val="none"/>
              </w:rPr>
              <w:t>1</w:t>
            </w:r>
          </w:p>
        </w:tc>
        <w:tc>
          <w:tcPr>
            <w:tcW w:w="1311" w:type="dxa"/>
            <w:vAlign w:val="center"/>
          </w:tcPr>
          <w:p w14:paraId="0EAAB6A2">
            <w:pPr>
              <w:shd w:val="clear"/>
              <w:spacing w:line="360" w:lineRule="auto"/>
              <w:jc w:val="center"/>
              <w:rPr>
                <w:rFonts w:ascii="宋体" w:hAnsi="宋体" w:cs="宋体"/>
                <w:color w:val="auto"/>
                <w:sz w:val="21"/>
                <w:szCs w:val="21"/>
                <w:highlight w:val="none"/>
              </w:rPr>
            </w:pPr>
            <w:r>
              <w:rPr>
                <w:rFonts w:hint="eastAsia" w:ascii="宋体" w:hAnsi="宋体" w:cs="宋体"/>
                <w:highlight w:val="none"/>
              </w:rPr>
              <w:t xml:space="preserve">价格分 </w:t>
            </w:r>
          </w:p>
        </w:tc>
        <w:tc>
          <w:tcPr>
            <w:tcW w:w="763" w:type="dxa"/>
            <w:vAlign w:val="center"/>
          </w:tcPr>
          <w:p w14:paraId="49F7D646">
            <w:pPr>
              <w:shd w:val="clear"/>
              <w:spacing w:line="360" w:lineRule="auto"/>
              <w:jc w:val="center"/>
              <w:rPr>
                <w:rFonts w:ascii="宋体" w:hAnsi="宋体" w:cs="宋体"/>
                <w:color w:val="auto"/>
                <w:szCs w:val="21"/>
                <w:highlight w:val="none"/>
              </w:rPr>
            </w:pPr>
          </w:p>
        </w:tc>
        <w:tc>
          <w:tcPr>
            <w:tcW w:w="4773" w:type="dxa"/>
            <w:vAlign w:val="center"/>
          </w:tcPr>
          <w:p w14:paraId="6BFA8C1A">
            <w:pPr>
              <w:shd w:val="clear"/>
              <w:spacing w:line="360" w:lineRule="auto"/>
              <w:rPr>
                <w:rFonts w:ascii="宋体" w:hAnsi="宋体" w:cs="宋体"/>
                <w:color w:val="auto"/>
                <w:szCs w:val="21"/>
                <w:highlight w:val="none"/>
              </w:rPr>
            </w:pPr>
            <w:r>
              <w:rPr>
                <w:rFonts w:hint="eastAsia" w:ascii="宋体" w:hAnsi="宋体" w:cs="宋体"/>
                <w:color w:val="auto"/>
                <w:sz w:val="21"/>
                <w:szCs w:val="21"/>
                <w:highlight w:val="none"/>
              </w:rPr>
              <w:t>..............</w:t>
            </w:r>
          </w:p>
        </w:tc>
        <w:tc>
          <w:tcPr>
            <w:tcW w:w="2040" w:type="dxa"/>
            <w:vAlign w:val="center"/>
          </w:tcPr>
          <w:p w14:paraId="7A6E6328">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41062A75">
            <w:pPr>
              <w:pStyle w:val="141"/>
              <w:shd w:val="clear"/>
              <w:rPr>
                <w:rFonts w:ascii="宋体" w:hAnsi="宋体"/>
                <w:b/>
                <w:color w:val="auto"/>
                <w:szCs w:val="21"/>
                <w:highlight w:val="none"/>
              </w:rPr>
            </w:pPr>
            <w:r>
              <w:rPr>
                <w:rFonts w:hint="eastAsia" w:ascii="宋体" w:hAnsi="宋体" w:cs="宋体"/>
                <w:color w:val="auto"/>
                <w:szCs w:val="21"/>
                <w:highlight w:val="none"/>
              </w:rPr>
              <w:t>页码范围：</w:t>
            </w:r>
          </w:p>
        </w:tc>
      </w:tr>
      <w:tr w14:paraId="14696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403" w:type="dxa"/>
            <w:vAlign w:val="center"/>
          </w:tcPr>
          <w:p w14:paraId="449369FF">
            <w:pPr>
              <w:shd w:val="clear"/>
              <w:spacing w:line="360" w:lineRule="auto"/>
              <w:jc w:val="center"/>
              <w:rPr>
                <w:rFonts w:ascii="宋体" w:hAnsi="宋体"/>
                <w:color w:val="auto"/>
                <w:highlight w:val="none"/>
              </w:rPr>
            </w:pPr>
            <w:r>
              <w:rPr>
                <w:rFonts w:hint="eastAsia" w:ascii="宋体" w:hAnsi="宋体"/>
                <w:color w:val="auto"/>
                <w:highlight w:val="none"/>
              </w:rPr>
              <w:t>2</w:t>
            </w:r>
          </w:p>
        </w:tc>
        <w:tc>
          <w:tcPr>
            <w:tcW w:w="1311" w:type="dxa"/>
            <w:vAlign w:val="center"/>
          </w:tcPr>
          <w:p w14:paraId="32190FA9">
            <w:pPr>
              <w:shd w:val="clear"/>
              <w:spacing w:line="360" w:lineRule="auto"/>
              <w:jc w:val="center"/>
              <w:rPr>
                <w:rFonts w:ascii="宋体" w:hAnsi="宋体" w:cs="宋体"/>
                <w:color w:val="auto"/>
                <w:sz w:val="21"/>
                <w:szCs w:val="21"/>
                <w:highlight w:val="none"/>
              </w:rPr>
            </w:pPr>
            <w:r>
              <w:rPr>
                <w:rFonts w:hint="eastAsia" w:ascii="宋体" w:hAnsi="宋体" w:cs="宋体"/>
                <w:color w:val="auto"/>
                <w:sz w:val="21"/>
                <w:szCs w:val="21"/>
                <w:highlight w:val="none"/>
              </w:rPr>
              <w:t>技术部分</w:t>
            </w:r>
          </w:p>
        </w:tc>
        <w:tc>
          <w:tcPr>
            <w:tcW w:w="763" w:type="dxa"/>
            <w:vAlign w:val="center"/>
          </w:tcPr>
          <w:p w14:paraId="45206645">
            <w:pPr>
              <w:shd w:val="clear"/>
              <w:spacing w:line="360" w:lineRule="auto"/>
              <w:jc w:val="center"/>
              <w:rPr>
                <w:rFonts w:ascii="宋体" w:hAnsi="宋体" w:cs="宋体"/>
                <w:color w:val="auto"/>
                <w:szCs w:val="21"/>
                <w:highlight w:val="none"/>
              </w:rPr>
            </w:pPr>
          </w:p>
        </w:tc>
        <w:tc>
          <w:tcPr>
            <w:tcW w:w="4773" w:type="dxa"/>
            <w:vAlign w:val="center"/>
          </w:tcPr>
          <w:p w14:paraId="1CCFF815">
            <w:pPr>
              <w:shd w:val="clear"/>
              <w:spacing w:line="360" w:lineRule="auto"/>
              <w:rPr>
                <w:rFonts w:ascii="宋体" w:hAnsi="宋体" w:cs="宋体"/>
                <w:color w:val="auto"/>
                <w:sz w:val="21"/>
                <w:szCs w:val="21"/>
                <w:highlight w:val="none"/>
              </w:rPr>
            </w:pPr>
            <w:r>
              <w:rPr>
                <w:rFonts w:hint="eastAsia" w:ascii="宋体" w:hAnsi="宋体" w:cs="宋体"/>
                <w:color w:val="auto"/>
                <w:sz w:val="21"/>
                <w:szCs w:val="21"/>
                <w:highlight w:val="none"/>
              </w:rPr>
              <w:t>..............</w:t>
            </w:r>
          </w:p>
        </w:tc>
        <w:tc>
          <w:tcPr>
            <w:tcW w:w="2040" w:type="dxa"/>
            <w:vAlign w:val="center"/>
          </w:tcPr>
          <w:p w14:paraId="35D96F23">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3331A638">
            <w:pPr>
              <w:pStyle w:val="141"/>
              <w:shd w:val="clear"/>
              <w:rPr>
                <w:rFonts w:ascii="宋体" w:hAnsi="宋体"/>
                <w:b/>
                <w:color w:val="auto"/>
                <w:szCs w:val="21"/>
                <w:highlight w:val="none"/>
              </w:rPr>
            </w:pPr>
            <w:r>
              <w:rPr>
                <w:rFonts w:hint="eastAsia" w:ascii="宋体" w:hAnsi="宋体" w:cs="宋体"/>
                <w:color w:val="auto"/>
                <w:szCs w:val="21"/>
                <w:highlight w:val="none"/>
              </w:rPr>
              <w:t>页码范围：</w:t>
            </w:r>
          </w:p>
        </w:tc>
      </w:tr>
      <w:tr w14:paraId="7F3AD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403" w:type="dxa"/>
            <w:vAlign w:val="center"/>
          </w:tcPr>
          <w:p w14:paraId="71A7C5DB">
            <w:pPr>
              <w:shd w:val="clear"/>
              <w:spacing w:line="360" w:lineRule="auto"/>
              <w:jc w:val="center"/>
              <w:rPr>
                <w:rFonts w:ascii="宋体" w:hAnsi="宋体"/>
                <w:color w:val="auto"/>
                <w:highlight w:val="none"/>
              </w:rPr>
            </w:pPr>
            <w:r>
              <w:rPr>
                <w:rFonts w:hint="eastAsia" w:ascii="宋体" w:hAnsi="宋体"/>
                <w:color w:val="auto"/>
                <w:highlight w:val="none"/>
              </w:rPr>
              <w:t>3</w:t>
            </w:r>
          </w:p>
        </w:tc>
        <w:tc>
          <w:tcPr>
            <w:tcW w:w="1311" w:type="dxa"/>
            <w:vAlign w:val="center"/>
          </w:tcPr>
          <w:p w14:paraId="5EFAB1E4">
            <w:pPr>
              <w:shd w:val="clear"/>
              <w:spacing w:line="360" w:lineRule="auto"/>
              <w:jc w:val="center"/>
              <w:rPr>
                <w:rFonts w:hint="default" w:ascii="宋体" w:hAnsi="宋体" w:cs="宋体"/>
                <w:color w:val="auto"/>
                <w:sz w:val="21"/>
                <w:szCs w:val="21"/>
                <w:highlight w:val="none"/>
                <w:lang w:val="en-US"/>
              </w:rPr>
            </w:pPr>
            <w:r>
              <w:rPr>
                <w:rFonts w:hint="eastAsia" w:ascii="宋体" w:hAnsi="宋体" w:cs="宋体"/>
                <w:color w:val="auto"/>
                <w:sz w:val="21"/>
                <w:szCs w:val="21"/>
                <w:highlight w:val="none"/>
                <w:lang w:val="en-US" w:eastAsia="zh-CN"/>
              </w:rPr>
              <w:t>商务部分</w:t>
            </w:r>
          </w:p>
        </w:tc>
        <w:tc>
          <w:tcPr>
            <w:tcW w:w="763" w:type="dxa"/>
            <w:vAlign w:val="center"/>
          </w:tcPr>
          <w:p w14:paraId="11D1715D">
            <w:pPr>
              <w:shd w:val="clear"/>
              <w:spacing w:line="360" w:lineRule="auto"/>
              <w:rPr>
                <w:rFonts w:ascii="宋体" w:hAnsi="宋体" w:cs="宋体"/>
                <w:color w:val="auto"/>
                <w:kern w:val="2"/>
                <w:highlight w:val="none"/>
              </w:rPr>
            </w:pPr>
          </w:p>
        </w:tc>
        <w:tc>
          <w:tcPr>
            <w:tcW w:w="4773" w:type="dxa"/>
            <w:vAlign w:val="center"/>
          </w:tcPr>
          <w:p w14:paraId="181C872A">
            <w:pPr>
              <w:shd w:val="clear"/>
              <w:spacing w:line="360" w:lineRule="auto"/>
              <w:rPr>
                <w:rFonts w:ascii="宋体" w:hAnsi="宋体" w:cs="宋体"/>
                <w:color w:val="auto"/>
                <w:kern w:val="2"/>
                <w:sz w:val="21"/>
                <w:szCs w:val="21"/>
                <w:highlight w:val="none"/>
              </w:rPr>
            </w:pPr>
            <w:r>
              <w:rPr>
                <w:rFonts w:hint="eastAsia" w:ascii="宋体" w:hAnsi="宋体" w:cs="宋体"/>
                <w:color w:val="auto"/>
                <w:sz w:val="21"/>
                <w:szCs w:val="21"/>
                <w:highlight w:val="none"/>
              </w:rPr>
              <w:t>.............</w:t>
            </w:r>
          </w:p>
        </w:tc>
        <w:tc>
          <w:tcPr>
            <w:tcW w:w="2040" w:type="dxa"/>
            <w:vAlign w:val="center"/>
          </w:tcPr>
          <w:p w14:paraId="26BE4127">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响应文件册</w:t>
            </w:r>
          </w:p>
          <w:p w14:paraId="06B7D0DA">
            <w:pPr>
              <w:widowControl w:val="0"/>
              <w:shd w:val="clear"/>
              <w:spacing w:line="360" w:lineRule="auto"/>
              <w:jc w:val="both"/>
              <w:rPr>
                <w:rFonts w:ascii="宋体" w:hAnsi="宋体" w:cs="宋体"/>
                <w:color w:val="auto"/>
                <w:sz w:val="21"/>
                <w:szCs w:val="21"/>
                <w:highlight w:val="none"/>
              </w:rPr>
            </w:pPr>
            <w:r>
              <w:rPr>
                <w:rFonts w:hint="eastAsia" w:ascii="宋体" w:hAnsi="宋体" w:cs="宋体"/>
                <w:color w:val="auto"/>
                <w:sz w:val="21"/>
                <w:szCs w:val="21"/>
                <w:highlight w:val="none"/>
              </w:rPr>
              <w:t>页码范围：</w:t>
            </w:r>
          </w:p>
        </w:tc>
      </w:tr>
    </w:tbl>
    <w:p w14:paraId="569D709C">
      <w:pPr>
        <w:widowControl w:val="0"/>
        <w:shd w:val="clear"/>
        <w:spacing w:line="360" w:lineRule="auto"/>
        <w:ind w:right="420" w:firstLine="480"/>
        <w:jc w:val="right"/>
        <w:rPr>
          <w:rFonts w:ascii="宋体" w:hAnsi="宋体" w:cs="宋体"/>
          <w:color w:val="auto"/>
          <w:szCs w:val="32"/>
          <w:highlight w:val="none"/>
        </w:rPr>
      </w:pPr>
      <w:r>
        <w:rPr>
          <w:rFonts w:hint="eastAsia" w:ascii="宋体" w:hAnsi="宋体" w:cs="宋体"/>
          <w:color w:val="auto"/>
          <w:szCs w:val="32"/>
          <w:highlight w:val="none"/>
        </w:rPr>
        <w:t>响应比选参与人：（公章）</w:t>
      </w:r>
    </w:p>
    <w:p w14:paraId="21DF6548">
      <w:pPr>
        <w:widowControl w:val="0"/>
        <w:shd w:val="clear"/>
        <w:spacing w:beforeLines="50" w:afterLines="50" w:line="360" w:lineRule="auto"/>
        <w:ind w:firstLine="480" w:firstLineChars="200"/>
        <w:jc w:val="right"/>
        <w:rPr>
          <w:rFonts w:ascii="宋体" w:hAnsi="宋体" w:cs="宋体"/>
          <w:color w:val="auto"/>
          <w:szCs w:val="32"/>
          <w:highlight w:val="none"/>
        </w:rPr>
      </w:pPr>
      <w:r>
        <w:rPr>
          <w:rFonts w:hint="eastAsia" w:ascii="宋体" w:hAnsi="宋体" w:cs="宋体"/>
          <w:color w:val="auto"/>
          <w:szCs w:val="32"/>
          <w:highlight w:val="none"/>
        </w:rPr>
        <w:t>年     月     日</w:t>
      </w:r>
    </w:p>
    <w:p w14:paraId="2BE0FFD0">
      <w:pPr>
        <w:widowControl w:val="0"/>
        <w:shd w:val="clear"/>
        <w:spacing w:line="360" w:lineRule="auto"/>
        <w:ind w:firstLine="562"/>
        <w:jc w:val="center"/>
        <w:rPr>
          <w:rFonts w:ascii="宋体" w:hAnsi="宋体" w:cs="宋体"/>
          <w:color w:val="auto"/>
          <w:highlight w:val="none"/>
        </w:rPr>
      </w:pPr>
      <w:r>
        <w:rPr>
          <w:rFonts w:hint="eastAsia" w:ascii="宋体" w:hAnsi="宋体" w:cs="宋体"/>
          <w:color w:val="auto"/>
          <w:highlight w:val="none"/>
        </w:rPr>
        <w:t>根据本项目</w:t>
      </w:r>
      <w:r>
        <w:rPr>
          <w:rFonts w:hint="eastAsia" w:ascii="宋体" w:hAnsi="宋体" w:cs="宋体"/>
          <w:bCs/>
          <w:color w:val="auto"/>
          <w:highlight w:val="none"/>
        </w:rPr>
        <w:t>专家评分表</w:t>
      </w:r>
      <w:r>
        <w:rPr>
          <w:rFonts w:hint="eastAsia" w:ascii="宋体" w:hAnsi="宋体" w:cs="宋体"/>
          <w:color w:val="auto"/>
          <w:highlight w:val="none"/>
        </w:rPr>
        <w:t>逐项填写</w:t>
      </w:r>
    </w:p>
    <w:p w14:paraId="3A456591">
      <w:pPr>
        <w:widowControl w:val="0"/>
        <w:shd w:val="clear"/>
        <w:spacing w:beforeLines="50" w:afterLines="50" w:line="360" w:lineRule="auto"/>
        <w:ind w:firstLine="480" w:firstLineChars="200"/>
        <w:jc w:val="right"/>
        <w:rPr>
          <w:rFonts w:ascii="宋体" w:hAnsi="宋体" w:cs="宋体"/>
          <w:color w:val="auto"/>
          <w:szCs w:val="32"/>
          <w:highlight w:val="none"/>
        </w:rPr>
      </w:pPr>
    </w:p>
    <w:p w14:paraId="4A703122">
      <w:pPr>
        <w:widowControl w:val="0"/>
        <w:shd w:val="clear"/>
        <w:spacing w:line="360" w:lineRule="auto"/>
        <w:ind w:firstLine="562"/>
        <w:jc w:val="center"/>
        <w:rPr>
          <w:rFonts w:ascii="宋体" w:hAnsi="宋体" w:cs="宋体"/>
          <w:color w:val="auto"/>
          <w:highlight w:val="none"/>
        </w:rPr>
      </w:pPr>
    </w:p>
    <w:p w14:paraId="7C827BB4">
      <w:pPr>
        <w:widowControl w:val="0"/>
        <w:shd w:val="clear"/>
        <w:spacing w:beforeLines="50" w:afterLines="50" w:line="360" w:lineRule="auto"/>
        <w:ind w:firstLine="480" w:firstLineChars="200"/>
        <w:rPr>
          <w:rFonts w:ascii="宋体" w:hAnsi="宋体" w:cs="宋体"/>
          <w:color w:val="auto"/>
          <w:highlight w:val="none"/>
        </w:rPr>
      </w:pPr>
      <w:r>
        <w:rPr>
          <w:rFonts w:hint="eastAsia" w:ascii="宋体" w:hAnsi="宋体" w:cs="宋体"/>
          <w:color w:val="auto"/>
          <w:highlight w:val="none"/>
        </w:rPr>
        <w:br w:type="page"/>
      </w:r>
    </w:p>
    <w:p w14:paraId="694DD836">
      <w:pPr>
        <w:widowControl w:val="0"/>
        <w:shd w:val="clear"/>
        <w:spacing w:beforeLines="50" w:afterLines="50" w:line="360" w:lineRule="auto"/>
        <w:ind w:firstLine="480" w:firstLineChars="200"/>
        <w:rPr>
          <w:rFonts w:ascii="黑体" w:hAnsi="黑体" w:eastAsia="黑体" w:cs="黑体"/>
          <w:color w:val="auto"/>
          <w:highlight w:val="none"/>
        </w:rPr>
      </w:pPr>
      <w:r>
        <w:rPr>
          <w:rFonts w:hint="eastAsia" w:ascii="黑体" w:hAnsi="黑体" w:eastAsia="黑体" w:cs="黑体"/>
          <w:color w:val="auto"/>
          <w:highlight w:val="none"/>
        </w:rPr>
        <w:t>一、报价文件</w:t>
      </w:r>
    </w:p>
    <w:p w14:paraId="02CD5D7B">
      <w:pPr>
        <w:widowControl w:val="0"/>
        <w:shd w:val="clear"/>
        <w:spacing w:line="360" w:lineRule="auto"/>
        <w:ind w:left="-12" w:leftChars="-5" w:firstLine="11" w:firstLineChars="3"/>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(一)报价函</w:t>
      </w:r>
    </w:p>
    <w:p w14:paraId="48F15435">
      <w:pPr>
        <w:shd w:val="clear"/>
        <w:spacing w:line="360" w:lineRule="auto"/>
        <w:rPr>
          <w:rFonts w:ascii="宋体" w:hAnsi="宋体"/>
          <w:color w:val="auto"/>
          <w:highlight w:val="none"/>
        </w:rPr>
      </w:pPr>
      <w:r>
        <w:rPr>
          <w:rFonts w:hint="eastAsia" w:ascii="宋体" w:hAnsi="宋体"/>
          <w:color w:val="auto"/>
          <w:highlight w:val="none"/>
        </w:rPr>
        <w:t>致：（</w:t>
      </w:r>
      <w:r>
        <w:rPr>
          <w:rFonts w:hint="eastAsia" w:ascii="宋体" w:hAnsi="宋体" w:cs="宋体"/>
          <w:color w:val="auto"/>
          <w:highlight w:val="none"/>
          <w:lang w:val="en-US" w:eastAsia="zh-CN"/>
        </w:rPr>
        <w:t>采购</w:t>
      </w:r>
      <w:r>
        <w:rPr>
          <w:rFonts w:hint="eastAsia" w:ascii="宋体" w:hAnsi="宋体" w:cs="宋体"/>
          <w:color w:val="auto"/>
          <w:highlight w:val="none"/>
        </w:rPr>
        <w:t>人</w:t>
      </w:r>
      <w:r>
        <w:rPr>
          <w:rFonts w:hint="eastAsia" w:ascii="宋体" w:hAnsi="宋体"/>
          <w:color w:val="auto"/>
          <w:highlight w:val="none"/>
        </w:rPr>
        <w:t>）</w:t>
      </w:r>
    </w:p>
    <w:p w14:paraId="0B2164EB">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我单位仔细研究了贵方（项目名称）比选文件的所有内容，根据</w:t>
      </w:r>
      <w:r>
        <w:rPr>
          <w:rFonts w:hint="eastAsia" w:ascii="宋体" w:hAnsi="宋体" w:cs="宋体"/>
          <w:color w:val="auto"/>
          <w:highlight w:val="none"/>
        </w:rPr>
        <w:t>本</w:t>
      </w:r>
      <w:r>
        <w:rPr>
          <w:rFonts w:hint="eastAsia" w:ascii="宋体" w:hAnsi="宋体"/>
          <w:color w:val="auto"/>
          <w:highlight w:val="none"/>
        </w:rPr>
        <w:t>单位的实际情况结合市场行情，我单位的投标</w:t>
      </w:r>
      <w:r>
        <w:rPr>
          <w:rFonts w:hint="eastAsia" w:ascii="宋体" w:hAnsi="宋体"/>
          <w:color w:val="auto"/>
          <w:highlight w:val="none"/>
          <w:lang w:val="en-US" w:eastAsia="zh-CN"/>
        </w:rPr>
        <w:t>报价为：</w:t>
      </w:r>
      <w:r>
        <w:rPr>
          <w:rFonts w:hint="eastAsia" w:ascii="宋体" w:hAnsi="宋体"/>
          <w:color w:val="auto"/>
          <w:highlight w:val="none"/>
          <w:u w:val="single"/>
          <w:lang w:val="en-US" w:eastAsia="zh-CN"/>
        </w:rPr>
        <w:t xml:space="preserve">   元</w:t>
      </w:r>
      <w:r>
        <w:rPr>
          <w:rFonts w:hint="eastAsia" w:ascii="宋体" w:hAnsi="宋体"/>
          <w:color w:val="auto"/>
          <w:highlight w:val="none"/>
        </w:rPr>
        <w:t>。</w:t>
      </w:r>
    </w:p>
    <w:p w14:paraId="21A7B63C">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本次报价包括比选文件及合同条款中要求的服务工作所涉及的一切费用，本报价在</w:t>
      </w:r>
      <w:r>
        <w:rPr>
          <w:rFonts w:hint="eastAsia" w:ascii="宋体" w:hAnsi="宋体"/>
          <w:color w:val="auto"/>
          <w:highlight w:val="none"/>
          <w:lang w:eastAsia="zh-CN"/>
        </w:rPr>
        <w:t>比选</w:t>
      </w:r>
      <w:r>
        <w:rPr>
          <w:rFonts w:hint="eastAsia" w:ascii="宋体" w:hAnsi="宋体"/>
          <w:color w:val="auto"/>
          <w:highlight w:val="none"/>
        </w:rPr>
        <w:t>有效期内固定不变，并在合同有效期内不受利率波动的影响。</w:t>
      </w:r>
    </w:p>
    <w:p w14:paraId="1EBA68CC">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1.服务期：</w:t>
      </w:r>
      <w:r>
        <w:rPr>
          <w:rFonts w:hint="eastAsia" w:ascii="宋体" w:hAnsi="宋体"/>
          <w:color w:val="auto"/>
          <w:highlight w:val="none"/>
          <w:u w:val="single"/>
          <w:lang w:val="en-US" w:eastAsia="zh-CN"/>
        </w:rPr>
        <w:t xml:space="preserve">               </w:t>
      </w:r>
      <w:r>
        <w:rPr>
          <w:rFonts w:hint="eastAsia" w:ascii="宋体" w:hAnsi="宋体"/>
          <w:color w:val="auto"/>
          <w:highlight w:val="none"/>
        </w:rPr>
        <w:t xml:space="preserve">。 </w:t>
      </w:r>
    </w:p>
    <w:p w14:paraId="4D7FA8F4">
      <w:pPr>
        <w:shd w:val="clear"/>
        <w:snapToGrid w:val="0"/>
        <w:spacing w:line="440" w:lineRule="exact"/>
        <w:ind w:firstLine="480" w:firstLineChars="200"/>
        <w:rPr>
          <w:rFonts w:ascii="宋体" w:hAnsi="宋体"/>
          <w:color w:val="auto"/>
          <w:highlight w:val="none"/>
        </w:rPr>
      </w:pPr>
      <w:r>
        <w:rPr>
          <w:rFonts w:hint="eastAsia" w:ascii="宋体" w:hAnsi="宋体"/>
          <w:color w:val="auto"/>
          <w:highlight w:val="none"/>
        </w:rPr>
        <w:t>2.付款方式：</w:t>
      </w:r>
      <w:r>
        <w:rPr>
          <w:rFonts w:hint="eastAsia" w:ascii="宋体" w:hAnsi="宋体" w:cs="宋体"/>
          <w:highlight w:val="none"/>
          <w:u w:val="single"/>
          <w:lang w:val="en-US" w:eastAsia="zh-CN"/>
        </w:rPr>
        <w:t>具体合同中约定</w:t>
      </w:r>
      <w:r>
        <w:rPr>
          <w:rFonts w:hint="eastAsia" w:ascii="宋体" w:hAnsi="宋体" w:eastAsia="宋体" w:cs="宋体"/>
          <w:highlight w:val="none"/>
          <w:lang w:val="en-US" w:eastAsia="zh-CN"/>
        </w:rPr>
        <w:t>。</w:t>
      </w:r>
    </w:p>
    <w:p w14:paraId="04BB822A">
      <w:pPr>
        <w:shd w:val="clear"/>
        <w:wordWrap w:val="0"/>
        <w:spacing w:line="360" w:lineRule="auto"/>
        <w:ind w:firstLine="480" w:firstLineChars="200"/>
        <w:rPr>
          <w:rFonts w:ascii="宋体" w:hAnsi="宋体" w:cs="宋体"/>
          <w:color w:val="auto"/>
          <w:highlight w:val="none"/>
        </w:rPr>
      </w:pPr>
      <w:r>
        <w:rPr>
          <w:rFonts w:hint="eastAsia" w:ascii="宋体" w:hAnsi="宋体"/>
          <w:color w:val="auto"/>
          <w:highlight w:val="none"/>
        </w:rPr>
        <w:t>3.</w:t>
      </w:r>
      <w:r>
        <w:rPr>
          <w:rFonts w:hint="eastAsia" w:ascii="宋体" w:hAnsi="宋体" w:cs="宋体"/>
          <w:color w:val="auto"/>
          <w:highlight w:val="none"/>
          <w:lang w:val="en-US" w:eastAsia="zh-CN"/>
        </w:rPr>
        <w:t>比选有效期</w:t>
      </w:r>
      <w:r>
        <w:rPr>
          <w:rFonts w:hint="eastAsia" w:ascii="宋体" w:hAnsi="宋体"/>
          <w:color w:val="auto"/>
          <w:highlight w:val="none"/>
        </w:rPr>
        <w:t>：</w:t>
      </w:r>
      <w:r>
        <w:rPr>
          <w:rFonts w:hint="eastAsia" w:ascii="宋体" w:hAnsi="宋体"/>
          <w:color w:val="auto"/>
          <w:highlight w:val="none"/>
          <w:u w:val="single"/>
          <w:lang w:val="en-US" w:eastAsia="zh-CN"/>
        </w:rPr>
        <w:t>90天</w:t>
      </w:r>
      <w:r>
        <w:rPr>
          <w:rFonts w:hint="eastAsia" w:ascii="宋体" w:hAnsi="宋体"/>
          <w:color w:val="auto"/>
          <w:highlight w:val="none"/>
        </w:rPr>
        <w:t>。</w:t>
      </w:r>
    </w:p>
    <w:p w14:paraId="145251DF">
      <w:pPr>
        <w:shd w:val="clear"/>
        <w:wordWrap w:val="0"/>
        <w:spacing w:line="360" w:lineRule="auto"/>
        <w:ind w:firstLine="480" w:firstLineChars="200"/>
        <w:rPr>
          <w:rFonts w:hint="eastAsia" w:ascii="宋体" w:hAnsi="宋体"/>
          <w:color w:val="auto"/>
          <w:highlight w:val="none"/>
        </w:rPr>
      </w:pPr>
      <w:r>
        <w:rPr>
          <w:rFonts w:hint="eastAsia" w:ascii="宋体" w:hAnsi="宋体"/>
          <w:color w:val="auto"/>
          <w:highlight w:val="none"/>
          <w:lang w:val="en-US" w:eastAsia="zh-CN"/>
        </w:rPr>
        <w:t>4</w:t>
      </w:r>
      <w:r>
        <w:rPr>
          <w:rFonts w:hint="eastAsia" w:ascii="宋体" w:hAnsi="宋体"/>
          <w:color w:val="auto"/>
          <w:highlight w:val="none"/>
        </w:rPr>
        <w:t>.</w:t>
      </w:r>
      <w:r>
        <w:rPr>
          <w:rFonts w:ascii="宋体" w:hAnsi="宋体"/>
          <w:color w:val="auto"/>
          <w:highlight w:val="none"/>
        </w:rPr>
        <w:t>承诺</w:t>
      </w:r>
      <w:r>
        <w:rPr>
          <w:rFonts w:hint="eastAsia" w:ascii="宋体" w:hAnsi="宋体"/>
          <w:color w:val="auto"/>
          <w:highlight w:val="none"/>
        </w:rPr>
        <w:t>：</w:t>
      </w:r>
    </w:p>
    <w:p w14:paraId="5C249891">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（1）</w:t>
      </w:r>
      <w:r>
        <w:rPr>
          <w:rFonts w:ascii="宋体" w:hAnsi="宋体"/>
          <w:color w:val="auto"/>
          <w:highlight w:val="none"/>
        </w:rPr>
        <w:t>我单位承诺中选后</w:t>
      </w:r>
      <w:r>
        <w:rPr>
          <w:rFonts w:hint="eastAsia" w:ascii="宋体" w:hAnsi="宋体"/>
          <w:color w:val="auto"/>
          <w:highlight w:val="none"/>
        </w:rPr>
        <w:t>按</w:t>
      </w:r>
      <w:r>
        <w:rPr>
          <w:rFonts w:hint="eastAsia" w:ascii="宋体" w:hAnsi="宋体"/>
          <w:color w:val="auto"/>
          <w:highlight w:val="none"/>
          <w:lang w:val="en-US" w:eastAsia="zh-CN"/>
        </w:rPr>
        <w:t>采购</w:t>
      </w:r>
      <w:r>
        <w:rPr>
          <w:rFonts w:hint="eastAsia" w:ascii="宋体" w:hAnsi="宋体"/>
          <w:color w:val="auto"/>
          <w:highlight w:val="none"/>
        </w:rPr>
        <w:t>人的合同范本签订合同；</w:t>
      </w:r>
    </w:p>
    <w:p w14:paraId="364CDA5F">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（2）</w:t>
      </w:r>
      <w:r>
        <w:rPr>
          <w:rFonts w:ascii="宋体" w:hAnsi="宋体"/>
          <w:color w:val="auto"/>
          <w:highlight w:val="none"/>
        </w:rPr>
        <w:t>我单位承诺中选后</w:t>
      </w:r>
      <w:r>
        <w:rPr>
          <w:rFonts w:hint="eastAsia" w:ascii="宋体" w:hAnsi="宋体"/>
          <w:color w:val="auto"/>
          <w:highlight w:val="none"/>
        </w:rPr>
        <w:t>严格执行</w:t>
      </w:r>
      <w:r>
        <w:rPr>
          <w:rFonts w:hint="eastAsia" w:ascii="宋体" w:hAnsi="宋体"/>
          <w:color w:val="auto"/>
          <w:highlight w:val="none"/>
          <w:lang w:val="en-US" w:eastAsia="zh-CN"/>
        </w:rPr>
        <w:t>采购</w:t>
      </w:r>
      <w:r>
        <w:rPr>
          <w:rFonts w:hint="eastAsia" w:ascii="宋体" w:hAnsi="宋体"/>
          <w:color w:val="auto"/>
          <w:highlight w:val="none"/>
        </w:rPr>
        <w:t>人有关工作的安排和要求；</w:t>
      </w:r>
    </w:p>
    <w:p w14:paraId="15DCDABE">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（3）</w:t>
      </w:r>
      <w:r>
        <w:rPr>
          <w:rFonts w:ascii="宋体" w:hAnsi="宋体"/>
          <w:color w:val="auto"/>
          <w:highlight w:val="none"/>
        </w:rPr>
        <w:t>我单位承诺中选后</w:t>
      </w:r>
      <w:r>
        <w:rPr>
          <w:rFonts w:hint="eastAsia" w:ascii="宋体" w:hAnsi="宋体"/>
          <w:color w:val="auto"/>
          <w:highlight w:val="none"/>
        </w:rPr>
        <w:t>全面响应</w:t>
      </w:r>
      <w:r>
        <w:rPr>
          <w:rFonts w:hint="eastAsia" w:ascii="宋体" w:hAnsi="宋体"/>
          <w:color w:val="auto"/>
          <w:highlight w:val="none"/>
          <w:lang w:val="en-US" w:eastAsia="zh-CN"/>
        </w:rPr>
        <w:t>采购</w:t>
      </w:r>
      <w:r>
        <w:rPr>
          <w:rFonts w:hint="eastAsia" w:ascii="宋体" w:hAnsi="宋体"/>
          <w:color w:val="auto"/>
          <w:highlight w:val="none"/>
        </w:rPr>
        <w:t>人对服务期的要求，保证编制工作质量符合国家或行业有关标准；</w:t>
      </w:r>
    </w:p>
    <w:p w14:paraId="386BC461">
      <w:pPr>
        <w:shd w:val="clear"/>
        <w:wordWrap w:val="0"/>
        <w:spacing w:line="360" w:lineRule="auto"/>
        <w:ind w:firstLine="480" w:firstLineChars="200"/>
        <w:rPr>
          <w:rFonts w:ascii="宋体" w:hAnsi="宋体"/>
          <w:color w:val="auto"/>
          <w:highlight w:val="none"/>
        </w:rPr>
      </w:pPr>
      <w:r>
        <w:rPr>
          <w:rFonts w:hint="eastAsia" w:ascii="宋体" w:hAnsi="宋体"/>
          <w:color w:val="auto"/>
          <w:highlight w:val="none"/>
        </w:rPr>
        <w:t>（</w:t>
      </w:r>
      <w:r>
        <w:rPr>
          <w:rFonts w:hint="eastAsia" w:ascii="宋体" w:hAnsi="宋体"/>
          <w:color w:val="auto"/>
          <w:highlight w:val="none"/>
          <w:lang w:val="en-US" w:eastAsia="zh-CN"/>
        </w:rPr>
        <w:t>4</w:t>
      </w:r>
      <w:r>
        <w:rPr>
          <w:rFonts w:hint="eastAsia" w:ascii="宋体" w:hAnsi="宋体"/>
          <w:color w:val="auto"/>
          <w:highlight w:val="none"/>
        </w:rPr>
        <w:t>）</w:t>
      </w:r>
      <w:r>
        <w:rPr>
          <w:rFonts w:ascii="宋体" w:hAnsi="宋体"/>
          <w:color w:val="auto"/>
          <w:highlight w:val="none"/>
        </w:rPr>
        <w:t>我单位承诺中选后</w:t>
      </w:r>
      <w:r>
        <w:rPr>
          <w:rFonts w:hint="eastAsia" w:ascii="宋体" w:hAnsi="宋体"/>
          <w:color w:val="auto"/>
          <w:highlight w:val="none"/>
        </w:rPr>
        <w:t>(包括单位及工作人员)要严格遵守纪律,遵从职业规范,对工作涉及有关项目信息的资料严格保密,不得向</w:t>
      </w:r>
      <w:r>
        <w:rPr>
          <w:rFonts w:hint="eastAsia" w:ascii="宋体" w:hAnsi="宋体"/>
          <w:color w:val="auto"/>
          <w:highlight w:val="none"/>
          <w:lang w:val="en-US" w:eastAsia="zh-CN"/>
        </w:rPr>
        <w:t>采购</w:t>
      </w:r>
      <w:r>
        <w:rPr>
          <w:rFonts w:hint="eastAsia" w:ascii="宋体" w:hAnsi="宋体"/>
          <w:color w:val="auto"/>
          <w:highlight w:val="none"/>
        </w:rPr>
        <w:t>人指定人员以外的任何单位和个人披露,否则,</w:t>
      </w:r>
      <w:r>
        <w:rPr>
          <w:rFonts w:hint="eastAsia" w:ascii="宋体" w:hAnsi="宋体"/>
          <w:color w:val="auto"/>
          <w:highlight w:val="none"/>
          <w:lang w:val="en-US" w:eastAsia="zh-CN"/>
        </w:rPr>
        <w:t>采购</w:t>
      </w:r>
      <w:r>
        <w:rPr>
          <w:rFonts w:hint="eastAsia" w:ascii="宋体" w:hAnsi="宋体"/>
          <w:color w:val="auto"/>
          <w:highlight w:val="none"/>
        </w:rPr>
        <w:t>人有权按有关法规追究</w:t>
      </w:r>
      <w:r>
        <w:rPr>
          <w:rFonts w:ascii="宋体" w:hAnsi="宋体"/>
          <w:color w:val="auto"/>
          <w:highlight w:val="none"/>
        </w:rPr>
        <w:t>我单位</w:t>
      </w:r>
      <w:r>
        <w:rPr>
          <w:rFonts w:hint="eastAsia" w:ascii="宋体" w:hAnsi="宋体"/>
          <w:color w:val="auto"/>
          <w:highlight w:val="none"/>
        </w:rPr>
        <w:t>应当承担的相关责任。</w:t>
      </w:r>
    </w:p>
    <w:p w14:paraId="4013C490">
      <w:pPr>
        <w:pStyle w:val="12"/>
        <w:shd w:val="clear"/>
        <w:spacing w:line="360" w:lineRule="auto"/>
        <w:ind w:left="0" w:leftChars="0" w:firstLine="0" w:firstLineChars="0"/>
        <w:rPr>
          <w:rFonts w:ascii="宋体" w:hAnsi="宋体"/>
          <w:color w:val="auto"/>
          <w:highlight w:val="none"/>
        </w:rPr>
      </w:pPr>
    </w:p>
    <w:p w14:paraId="47CC43DD">
      <w:pPr>
        <w:pStyle w:val="12"/>
        <w:shd w:val="clear"/>
        <w:spacing w:line="360" w:lineRule="auto"/>
        <w:rPr>
          <w:rFonts w:ascii="宋体" w:hAnsi="宋体"/>
          <w:color w:val="auto"/>
          <w:highlight w:val="none"/>
        </w:rPr>
      </w:pPr>
    </w:p>
    <w:p w14:paraId="12D85F3B">
      <w:pPr>
        <w:pStyle w:val="12"/>
        <w:shd w:val="clear"/>
        <w:spacing w:line="360" w:lineRule="auto"/>
        <w:rPr>
          <w:rFonts w:ascii="宋体" w:hAnsi="宋体"/>
          <w:color w:val="auto"/>
          <w:highlight w:val="none"/>
        </w:rPr>
      </w:pPr>
    </w:p>
    <w:p w14:paraId="2FAD749B">
      <w:pPr>
        <w:pStyle w:val="12"/>
        <w:shd w:val="clear"/>
        <w:spacing w:line="360" w:lineRule="auto"/>
        <w:rPr>
          <w:rFonts w:ascii="宋体" w:hAnsi="宋体"/>
          <w:color w:val="auto"/>
          <w:highlight w:val="none"/>
        </w:rPr>
      </w:pPr>
    </w:p>
    <w:p w14:paraId="31A80C35">
      <w:pPr>
        <w:shd w:val="clear"/>
        <w:wordWrap w:val="0"/>
        <w:spacing w:line="360" w:lineRule="auto"/>
        <w:ind w:firstLine="1440" w:firstLineChars="600"/>
        <w:jc w:val="right"/>
        <w:rPr>
          <w:rFonts w:ascii="宋体" w:hAnsi="宋体"/>
          <w:color w:val="auto"/>
          <w:highlight w:val="none"/>
          <w:u w:val="single"/>
        </w:rPr>
      </w:pPr>
      <w:r>
        <w:rPr>
          <w:rFonts w:hint="eastAsia" w:ascii="宋体" w:hAnsi="宋体"/>
          <w:color w:val="auto"/>
          <w:highlight w:val="none"/>
        </w:rPr>
        <w:t>参选人：</w:t>
      </w:r>
      <w:r>
        <w:rPr>
          <w:rFonts w:hint="eastAsia" w:ascii="宋体" w:hAnsi="宋体"/>
          <w:color w:val="auto"/>
          <w:highlight w:val="none"/>
          <w:u w:val="single"/>
        </w:rPr>
        <w:t xml:space="preserve">（全称并加盖公章）    </w:t>
      </w:r>
    </w:p>
    <w:p w14:paraId="5D8088DA">
      <w:pPr>
        <w:shd w:val="clear"/>
        <w:spacing w:line="360" w:lineRule="auto"/>
        <w:ind w:firstLine="1440" w:firstLineChars="600"/>
        <w:jc w:val="right"/>
        <w:rPr>
          <w:rFonts w:ascii="宋体" w:hAnsi="宋体"/>
          <w:color w:val="auto"/>
          <w:highlight w:val="none"/>
        </w:rPr>
      </w:pPr>
      <w:r>
        <w:rPr>
          <w:rFonts w:hint="eastAsia" w:ascii="宋体" w:hAnsi="宋体"/>
          <w:color w:val="auto"/>
          <w:highlight w:val="none"/>
        </w:rPr>
        <w:t>参选人法定代表人或委托代理人（</w:t>
      </w:r>
      <w:r>
        <w:rPr>
          <w:color w:val="auto"/>
          <w:highlight w:val="none"/>
        </w:rPr>
        <w:t>签字或盖章</w:t>
      </w:r>
      <w:r>
        <w:rPr>
          <w:rFonts w:hint="eastAsia" w:ascii="宋体" w:hAnsi="宋体"/>
          <w:color w:val="auto"/>
          <w:highlight w:val="none"/>
        </w:rPr>
        <w:t xml:space="preserve">）：          </w:t>
      </w:r>
    </w:p>
    <w:p w14:paraId="0401FC4E">
      <w:pPr>
        <w:shd w:val="clear"/>
        <w:spacing w:line="360" w:lineRule="auto"/>
        <w:jc w:val="right"/>
        <w:rPr>
          <w:rFonts w:ascii="宋体" w:hAnsi="宋体"/>
          <w:color w:val="auto"/>
          <w:highlight w:val="none"/>
        </w:rPr>
      </w:pPr>
      <w:r>
        <w:rPr>
          <w:rFonts w:hint="eastAsia" w:ascii="宋体" w:hAnsi="宋体"/>
          <w:color w:val="auto"/>
          <w:highlight w:val="none"/>
        </w:rPr>
        <w:t xml:space="preserve">                                          年   月    日</w:t>
      </w:r>
    </w:p>
    <w:p w14:paraId="1CE33818">
      <w:pPr>
        <w:widowControl w:val="0"/>
        <w:shd w:val="clear"/>
        <w:spacing w:beforeLines="50" w:afterLines="50" w:line="360" w:lineRule="auto"/>
        <w:ind w:firstLine="480" w:firstLineChars="200"/>
        <w:rPr>
          <w:rFonts w:ascii="黑体" w:hAnsi="黑体" w:eastAsia="黑体" w:cs="黑体"/>
          <w:color w:val="auto"/>
          <w:highlight w:val="none"/>
        </w:rPr>
      </w:pPr>
    </w:p>
    <w:p w14:paraId="651FCFD7">
      <w:pPr>
        <w:shd w:val="clear"/>
        <w:spacing w:line="360" w:lineRule="auto"/>
        <w:rPr>
          <w:rFonts w:ascii="黑体" w:hAnsi="黑体" w:eastAsia="黑体" w:cs="黑体"/>
          <w:color w:val="auto"/>
          <w:highlight w:val="none"/>
        </w:rPr>
      </w:pPr>
      <w:r>
        <w:rPr>
          <w:rFonts w:ascii="黑体" w:hAnsi="黑体" w:eastAsia="黑体" w:cs="黑体"/>
          <w:color w:val="auto"/>
          <w:highlight w:val="none"/>
        </w:rPr>
        <w:br w:type="page"/>
      </w:r>
    </w:p>
    <w:p w14:paraId="2E535E87">
      <w:pPr>
        <w:widowControl/>
        <w:shd w:val="clear"/>
        <w:spacing w:beforeLines="-2147483648" w:afterLines="-2147483648" w:line="240" w:lineRule="auto"/>
        <w:ind w:firstLine="0" w:firstLineChars="0"/>
        <w:jc w:val="both"/>
        <w:rPr>
          <w:rFonts w:hint="default" w:ascii="黑体" w:hAnsi="黑体" w:eastAsia="黑体" w:cs="黑体"/>
          <w:color w:val="auto"/>
          <w:highlight w:val="none"/>
          <w:lang w:val="en-US" w:eastAsia="zh-CN"/>
        </w:rPr>
        <w:sectPr>
          <w:pgSz w:w="11906" w:h="16838"/>
          <w:pgMar w:top="1531" w:right="1418" w:bottom="1361" w:left="1418" w:header="851" w:footer="992" w:gutter="0"/>
          <w:pgNumType w:fmt="decimal"/>
          <w:cols w:space="720" w:num="1"/>
          <w:docGrid w:type="lines" w:linePitch="312" w:charSpace="0"/>
        </w:sectPr>
      </w:pPr>
    </w:p>
    <w:p w14:paraId="049E6D60">
      <w:pPr>
        <w:widowControl/>
        <w:shd w:val="clear"/>
        <w:spacing w:beforeLines="-2147483648" w:afterLines="-2147483648" w:line="240" w:lineRule="auto"/>
        <w:ind w:firstLine="0" w:firstLineChars="0"/>
        <w:jc w:val="center"/>
        <w:rPr>
          <w:rFonts w:hint="default" w:ascii="黑体" w:hAnsi="黑体" w:eastAsia="黑体" w:cs="黑体"/>
          <w:color w:val="auto"/>
          <w:highlight w:val="none"/>
          <w:lang w:val="en-US" w:eastAsia="zh-CN"/>
        </w:rPr>
      </w:pPr>
    </w:p>
    <w:p w14:paraId="208D363D">
      <w:pPr>
        <w:widowControl w:val="0"/>
        <w:shd w:val="clear"/>
        <w:spacing w:beforeLines="50" w:afterLines="50" w:line="360" w:lineRule="auto"/>
        <w:ind w:firstLine="480" w:firstLineChars="200"/>
        <w:rPr>
          <w:rFonts w:ascii="黑体" w:hAnsi="黑体" w:eastAsia="黑体" w:cs="黑体"/>
          <w:color w:val="auto"/>
          <w:highlight w:val="none"/>
        </w:rPr>
      </w:pPr>
      <w:r>
        <w:rPr>
          <w:rFonts w:hint="eastAsia" w:ascii="黑体" w:hAnsi="黑体" w:eastAsia="黑体" w:cs="黑体"/>
          <w:color w:val="auto"/>
          <w:highlight w:val="none"/>
        </w:rPr>
        <w:t>二、资格文件</w:t>
      </w:r>
    </w:p>
    <w:p w14:paraId="479BE262">
      <w:pPr>
        <w:widowControl w:val="0"/>
        <w:shd w:val="clear"/>
        <w:spacing w:line="360" w:lineRule="auto"/>
        <w:ind w:firstLine="487" w:firstLineChars="202"/>
        <w:rPr>
          <w:rFonts w:ascii="宋体" w:hAnsi="宋体" w:cs="宋体"/>
          <w:b/>
          <w:color w:val="auto"/>
          <w:highlight w:val="none"/>
        </w:rPr>
      </w:pPr>
      <w:r>
        <w:rPr>
          <w:rFonts w:hint="eastAsia" w:ascii="宋体" w:hAnsi="宋体" w:cs="宋体"/>
          <w:b/>
          <w:color w:val="auto"/>
          <w:highlight w:val="none"/>
        </w:rPr>
        <w:t>（一）一般资格</w:t>
      </w:r>
    </w:p>
    <w:p w14:paraId="0CFDB632">
      <w:pPr>
        <w:widowControl w:val="0"/>
        <w:shd w:val="clear"/>
        <w:spacing w:line="360" w:lineRule="auto"/>
        <w:rPr>
          <w:rFonts w:ascii="宋体" w:hAnsi="宋体" w:cs="宋体"/>
          <w:b/>
          <w:color w:val="auto"/>
          <w:highlight w:val="none"/>
        </w:rPr>
      </w:pPr>
    </w:p>
    <w:p w14:paraId="6F18B432">
      <w:pPr>
        <w:widowControl w:val="0"/>
        <w:shd w:val="clear"/>
        <w:spacing w:line="360" w:lineRule="auto"/>
        <w:ind w:firstLine="240" w:firstLineChars="100"/>
        <w:rPr>
          <w:rFonts w:ascii="宋体" w:hAnsi="宋体" w:cs="宋体"/>
          <w:color w:val="auto"/>
          <w:highlight w:val="none"/>
        </w:rPr>
      </w:pPr>
      <w:r>
        <w:rPr>
          <w:rFonts w:hint="eastAsia" w:ascii="宋体" w:hAnsi="宋体" w:cs="宋体"/>
          <w:color w:val="auto"/>
          <w:highlight w:val="none"/>
        </w:rPr>
        <w:t>1.基本情况表</w:t>
      </w:r>
    </w:p>
    <w:tbl>
      <w:tblPr>
        <w:tblStyle w:val="34"/>
        <w:tblW w:w="9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0"/>
        <w:gridCol w:w="3676"/>
        <w:gridCol w:w="1440"/>
        <w:gridCol w:w="2300"/>
      </w:tblGrid>
      <w:tr w14:paraId="4A61D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2E1CFD87">
            <w:pPr>
              <w:shd w:val="clear"/>
              <w:spacing w:line="360" w:lineRule="auto"/>
              <w:jc w:val="center"/>
              <w:rPr>
                <w:rFonts w:ascii="宋体" w:hAnsi="宋体"/>
                <w:color w:val="auto"/>
                <w:highlight w:val="none"/>
              </w:rPr>
            </w:pPr>
            <w:r>
              <w:rPr>
                <w:rFonts w:hint="eastAsia" w:ascii="宋体" w:hAnsi="宋体"/>
                <w:color w:val="auto"/>
                <w:highlight w:val="none"/>
              </w:rPr>
              <w:t>名称</w:t>
            </w:r>
          </w:p>
        </w:tc>
        <w:tc>
          <w:tcPr>
            <w:tcW w:w="7416" w:type="dxa"/>
            <w:gridSpan w:val="3"/>
            <w:vAlign w:val="center"/>
          </w:tcPr>
          <w:p w14:paraId="6A49B9A7">
            <w:pPr>
              <w:shd w:val="clear"/>
              <w:spacing w:line="360" w:lineRule="auto"/>
              <w:jc w:val="center"/>
              <w:rPr>
                <w:rFonts w:ascii="宋体" w:hAnsi="宋体"/>
                <w:color w:val="auto"/>
                <w:highlight w:val="none"/>
              </w:rPr>
            </w:pPr>
          </w:p>
        </w:tc>
      </w:tr>
      <w:tr w14:paraId="14958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681B9193">
            <w:pPr>
              <w:shd w:val="clear"/>
              <w:spacing w:line="360" w:lineRule="auto"/>
              <w:jc w:val="center"/>
              <w:rPr>
                <w:rFonts w:ascii="宋体" w:hAnsi="宋体"/>
                <w:color w:val="auto"/>
                <w:highlight w:val="none"/>
              </w:rPr>
            </w:pPr>
            <w:r>
              <w:rPr>
                <w:rFonts w:hint="eastAsia" w:ascii="宋体" w:hAnsi="宋体"/>
                <w:color w:val="auto"/>
                <w:highlight w:val="none"/>
              </w:rPr>
              <w:t>经营地址</w:t>
            </w:r>
          </w:p>
        </w:tc>
        <w:tc>
          <w:tcPr>
            <w:tcW w:w="7416" w:type="dxa"/>
            <w:gridSpan w:val="3"/>
            <w:vAlign w:val="center"/>
          </w:tcPr>
          <w:p w14:paraId="0F4BBC1A">
            <w:pPr>
              <w:shd w:val="clear"/>
              <w:spacing w:line="360" w:lineRule="auto"/>
              <w:jc w:val="center"/>
              <w:rPr>
                <w:rFonts w:ascii="宋体" w:hAnsi="宋体"/>
                <w:color w:val="auto"/>
                <w:highlight w:val="none"/>
              </w:rPr>
            </w:pPr>
          </w:p>
        </w:tc>
      </w:tr>
      <w:tr w14:paraId="547A3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72492EC2">
            <w:pPr>
              <w:shd w:val="clear"/>
              <w:spacing w:line="360" w:lineRule="auto"/>
              <w:jc w:val="center"/>
              <w:rPr>
                <w:rFonts w:ascii="宋体" w:hAnsi="宋体"/>
                <w:color w:val="auto"/>
                <w:highlight w:val="none"/>
              </w:rPr>
            </w:pPr>
            <w:r>
              <w:rPr>
                <w:rFonts w:hint="eastAsia" w:ascii="宋体" w:hAnsi="宋体"/>
                <w:color w:val="auto"/>
                <w:highlight w:val="none"/>
              </w:rPr>
              <w:t>法定代表人</w:t>
            </w:r>
          </w:p>
        </w:tc>
        <w:tc>
          <w:tcPr>
            <w:tcW w:w="7416" w:type="dxa"/>
            <w:gridSpan w:val="3"/>
            <w:vAlign w:val="center"/>
          </w:tcPr>
          <w:p w14:paraId="6551CEA0">
            <w:pPr>
              <w:shd w:val="clear"/>
              <w:spacing w:line="360" w:lineRule="auto"/>
              <w:jc w:val="center"/>
              <w:rPr>
                <w:rFonts w:ascii="宋体" w:hAnsi="宋体"/>
                <w:color w:val="auto"/>
                <w:highlight w:val="none"/>
              </w:rPr>
            </w:pPr>
          </w:p>
        </w:tc>
      </w:tr>
      <w:tr w14:paraId="7FE4D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5395ED70">
            <w:pPr>
              <w:shd w:val="clear"/>
              <w:spacing w:line="360" w:lineRule="auto"/>
              <w:jc w:val="center"/>
              <w:rPr>
                <w:rFonts w:ascii="宋体" w:hAnsi="宋体"/>
                <w:color w:val="auto"/>
                <w:highlight w:val="none"/>
              </w:rPr>
            </w:pPr>
            <w:r>
              <w:rPr>
                <w:rFonts w:hint="eastAsia" w:ascii="宋体" w:hAnsi="宋体"/>
                <w:color w:val="auto"/>
                <w:highlight w:val="none"/>
              </w:rPr>
              <w:t>类型</w:t>
            </w:r>
          </w:p>
        </w:tc>
        <w:tc>
          <w:tcPr>
            <w:tcW w:w="7416" w:type="dxa"/>
            <w:gridSpan w:val="3"/>
            <w:vAlign w:val="center"/>
          </w:tcPr>
          <w:p w14:paraId="1347FD8D">
            <w:pPr>
              <w:shd w:val="clear"/>
              <w:spacing w:line="360" w:lineRule="auto"/>
              <w:jc w:val="center"/>
              <w:rPr>
                <w:rFonts w:ascii="宋体" w:hAnsi="宋体"/>
                <w:color w:val="auto"/>
                <w:highlight w:val="none"/>
              </w:rPr>
            </w:pPr>
          </w:p>
        </w:tc>
      </w:tr>
      <w:tr w14:paraId="3C36C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741821E6">
            <w:pPr>
              <w:shd w:val="clear"/>
              <w:spacing w:line="360" w:lineRule="auto"/>
              <w:jc w:val="center"/>
              <w:rPr>
                <w:rFonts w:ascii="宋体" w:hAnsi="宋体"/>
                <w:color w:val="auto"/>
                <w:highlight w:val="none"/>
              </w:rPr>
            </w:pPr>
            <w:r>
              <w:rPr>
                <w:rFonts w:hint="eastAsia" w:ascii="宋体" w:hAnsi="宋体"/>
                <w:color w:val="auto"/>
                <w:highlight w:val="none"/>
              </w:rPr>
              <w:t>经营范围</w:t>
            </w:r>
          </w:p>
        </w:tc>
        <w:tc>
          <w:tcPr>
            <w:tcW w:w="7416" w:type="dxa"/>
            <w:gridSpan w:val="3"/>
            <w:vAlign w:val="center"/>
          </w:tcPr>
          <w:p w14:paraId="3F68E49E">
            <w:pPr>
              <w:shd w:val="clear"/>
              <w:spacing w:line="360" w:lineRule="auto"/>
              <w:jc w:val="center"/>
              <w:rPr>
                <w:rFonts w:ascii="宋体" w:hAnsi="宋体"/>
                <w:color w:val="auto"/>
                <w:highlight w:val="none"/>
              </w:rPr>
            </w:pPr>
          </w:p>
        </w:tc>
      </w:tr>
      <w:tr w14:paraId="28472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3BBD5D12">
            <w:pPr>
              <w:shd w:val="clear"/>
              <w:spacing w:line="360" w:lineRule="auto"/>
              <w:jc w:val="center"/>
              <w:rPr>
                <w:rFonts w:ascii="宋体" w:hAnsi="宋体"/>
                <w:color w:val="auto"/>
                <w:highlight w:val="none"/>
              </w:rPr>
            </w:pPr>
            <w:r>
              <w:rPr>
                <w:rFonts w:hint="eastAsia" w:ascii="宋体" w:hAnsi="宋体"/>
                <w:color w:val="auto"/>
                <w:highlight w:val="none"/>
              </w:rPr>
              <w:t>注册号</w:t>
            </w:r>
          </w:p>
        </w:tc>
        <w:tc>
          <w:tcPr>
            <w:tcW w:w="3676" w:type="dxa"/>
            <w:vAlign w:val="center"/>
          </w:tcPr>
          <w:p w14:paraId="24480004">
            <w:pPr>
              <w:shd w:val="clear"/>
              <w:spacing w:line="360" w:lineRule="auto"/>
              <w:jc w:val="center"/>
              <w:rPr>
                <w:rFonts w:ascii="宋体" w:hAnsi="宋体"/>
                <w:color w:val="auto"/>
                <w:highlight w:val="none"/>
              </w:rPr>
            </w:pPr>
          </w:p>
        </w:tc>
        <w:tc>
          <w:tcPr>
            <w:tcW w:w="1440" w:type="dxa"/>
            <w:vAlign w:val="center"/>
          </w:tcPr>
          <w:p w14:paraId="0D911A18">
            <w:pPr>
              <w:shd w:val="clear"/>
              <w:spacing w:line="360" w:lineRule="auto"/>
              <w:jc w:val="center"/>
              <w:rPr>
                <w:rFonts w:ascii="宋体" w:hAnsi="宋体"/>
                <w:color w:val="auto"/>
                <w:highlight w:val="none"/>
              </w:rPr>
            </w:pPr>
            <w:r>
              <w:rPr>
                <w:rFonts w:hint="eastAsia" w:ascii="宋体" w:hAnsi="宋体"/>
                <w:color w:val="auto"/>
                <w:highlight w:val="none"/>
              </w:rPr>
              <w:t>邮政编码</w:t>
            </w:r>
          </w:p>
        </w:tc>
        <w:tc>
          <w:tcPr>
            <w:tcW w:w="2300" w:type="dxa"/>
            <w:vAlign w:val="center"/>
          </w:tcPr>
          <w:p w14:paraId="30CB41DB">
            <w:pPr>
              <w:shd w:val="clear"/>
              <w:spacing w:line="360" w:lineRule="auto"/>
              <w:jc w:val="center"/>
              <w:rPr>
                <w:rFonts w:ascii="宋体" w:hAnsi="宋体"/>
                <w:color w:val="auto"/>
                <w:highlight w:val="none"/>
              </w:rPr>
            </w:pPr>
          </w:p>
        </w:tc>
      </w:tr>
      <w:tr w14:paraId="33E36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7AEDE07E">
            <w:pPr>
              <w:shd w:val="clear"/>
              <w:spacing w:line="360" w:lineRule="auto"/>
              <w:jc w:val="center"/>
              <w:rPr>
                <w:rFonts w:ascii="宋体" w:hAnsi="宋体"/>
                <w:color w:val="auto"/>
                <w:highlight w:val="none"/>
              </w:rPr>
            </w:pPr>
            <w:r>
              <w:rPr>
                <w:rFonts w:hint="eastAsia" w:ascii="宋体" w:hAnsi="宋体"/>
                <w:color w:val="auto"/>
                <w:highlight w:val="none"/>
              </w:rPr>
              <w:t>营业期限</w:t>
            </w:r>
          </w:p>
        </w:tc>
        <w:tc>
          <w:tcPr>
            <w:tcW w:w="7416" w:type="dxa"/>
            <w:gridSpan w:val="3"/>
            <w:vAlign w:val="center"/>
          </w:tcPr>
          <w:p w14:paraId="04667F54">
            <w:pPr>
              <w:shd w:val="clear"/>
              <w:spacing w:line="360" w:lineRule="auto"/>
              <w:jc w:val="center"/>
              <w:rPr>
                <w:rFonts w:ascii="宋体" w:hAnsi="宋体"/>
                <w:color w:val="auto"/>
                <w:highlight w:val="none"/>
              </w:rPr>
            </w:pPr>
          </w:p>
        </w:tc>
      </w:tr>
      <w:tr w14:paraId="73318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0" w:type="dxa"/>
            <w:vAlign w:val="center"/>
          </w:tcPr>
          <w:p w14:paraId="2517A8E4">
            <w:pPr>
              <w:shd w:val="clear"/>
              <w:spacing w:line="360" w:lineRule="auto"/>
              <w:jc w:val="center"/>
              <w:rPr>
                <w:rFonts w:ascii="宋体" w:hAnsi="宋体"/>
                <w:color w:val="auto"/>
                <w:highlight w:val="none"/>
              </w:rPr>
            </w:pPr>
            <w:r>
              <w:rPr>
                <w:rFonts w:hint="eastAsia" w:ascii="宋体" w:hAnsi="宋体"/>
                <w:color w:val="auto"/>
                <w:highlight w:val="none"/>
              </w:rPr>
              <w:t>负责人</w:t>
            </w:r>
          </w:p>
        </w:tc>
        <w:tc>
          <w:tcPr>
            <w:tcW w:w="7416" w:type="dxa"/>
            <w:gridSpan w:val="3"/>
            <w:vAlign w:val="center"/>
          </w:tcPr>
          <w:p w14:paraId="26D535EF">
            <w:pPr>
              <w:shd w:val="clear"/>
              <w:spacing w:line="360" w:lineRule="auto"/>
              <w:jc w:val="center"/>
              <w:rPr>
                <w:rFonts w:ascii="宋体" w:hAnsi="宋体"/>
                <w:color w:val="auto"/>
                <w:highlight w:val="none"/>
              </w:rPr>
            </w:pPr>
          </w:p>
        </w:tc>
      </w:tr>
      <w:tr w14:paraId="2032A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7" w:hRule="atLeast"/>
          <w:jc w:val="center"/>
        </w:trPr>
        <w:tc>
          <w:tcPr>
            <w:tcW w:w="1830" w:type="dxa"/>
            <w:vAlign w:val="center"/>
          </w:tcPr>
          <w:p w14:paraId="28921765">
            <w:pPr>
              <w:shd w:val="clear"/>
              <w:spacing w:line="360" w:lineRule="auto"/>
              <w:jc w:val="center"/>
              <w:rPr>
                <w:rFonts w:ascii="宋体" w:hAnsi="宋体"/>
                <w:color w:val="auto"/>
                <w:highlight w:val="none"/>
              </w:rPr>
            </w:pPr>
            <w:r>
              <w:rPr>
                <w:rFonts w:hint="eastAsia" w:ascii="宋体" w:hAnsi="宋体"/>
                <w:color w:val="auto"/>
                <w:highlight w:val="none"/>
              </w:rPr>
              <w:t>简介</w:t>
            </w:r>
          </w:p>
        </w:tc>
        <w:tc>
          <w:tcPr>
            <w:tcW w:w="7416" w:type="dxa"/>
            <w:gridSpan w:val="3"/>
          </w:tcPr>
          <w:p w14:paraId="2C517A72">
            <w:pPr>
              <w:shd w:val="clear"/>
              <w:spacing w:line="360" w:lineRule="auto"/>
              <w:rPr>
                <w:rFonts w:ascii="宋体" w:hAnsi="宋体"/>
                <w:color w:val="auto"/>
                <w:highlight w:val="none"/>
              </w:rPr>
            </w:pPr>
          </w:p>
        </w:tc>
      </w:tr>
    </w:tbl>
    <w:p w14:paraId="393873AD">
      <w:pPr>
        <w:shd w:val="clear"/>
        <w:adjustRightInd w:val="0"/>
        <w:snapToGrid w:val="0"/>
        <w:spacing w:line="360" w:lineRule="auto"/>
        <w:rPr>
          <w:rFonts w:ascii="宋体" w:hAnsi="宋体"/>
          <w:color w:val="auto"/>
          <w:highlight w:val="none"/>
        </w:rPr>
      </w:pPr>
      <w:r>
        <w:rPr>
          <w:rFonts w:hint="eastAsia" w:ascii="宋体" w:hAnsi="宋体" w:cs="宋体"/>
          <w:color w:val="auto"/>
          <w:highlight w:val="none"/>
        </w:rPr>
        <w:t>注：在本页后应附法人营业执照副本（“三证合一”营业执照副本）复印件（或扫描件）等参选人认为有必要提供的所有证件的复印件（加盖公章)。</w:t>
      </w:r>
    </w:p>
    <w:p w14:paraId="5D0E0FDE">
      <w:pPr>
        <w:widowControl w:val="0"/>
        <w:shd w:val="clear"/>
        <w:spacing w:beforeLines="100" w:afterLines="50" w:line="360" w:lineRule="auto"/>
        <w:ind w:firstLine="646" w:firstLineChars="268"/>
        <w:rPr>
          <w:rFonts w:ascii="宋体" w:hAnsi="宋体" w:cs="宋体"/>
          <w:color w:val="auto"/>
          <w:highlight w:val="none"/>
        </w:rPr>
      </w:pPr>
      <w:r>
        <w:rPr>
          <w:rFonts w:hint="eastAsia" w:ascii="宋体" w:hAnsi="宋体" w:cs="宋体"/>
          <w:b/>
          <w:color w:val="auto"/>
          <w:highlight w:val="none"/>
        </w:rPr>
        <w:br w:type="page"/>
      </w:r>
    </w:p>
    <w:p w14:paraId="36AFB4D4">
      <w:pPr>
        <w:shd w:val="clear"/>
        <w:spacing w:beforeLines="100" w:afterLines="50"/>
        <w:ind w:firstLine="480" w:firstLineChars="200"/>
        <w:rPr>
          <w:rFonts w:ascii="宋体" w:hAnsi="宋体" w:cs="宋体"/>
          <w:highlight w:val="none"/>
        </w:rPr>
      </w:pPr>
      <w:r>
        <w:rPr>
          <w:rFonts w:hint="eastAsia" w:ascii="宋体" w:hAnsi="宋体" w:cs="宋体"/>
          <w:highlight w:val="none"/>
        </w:rPr>
        <w:t>2.供应商公司简介（应包含但不限于以下内容）；</w:t>
      </w:r>
    </w:p>
    <w:p w14:paraId="028526DE">
      <w:pPr>
        <w:shd w:val="clear"/>
        <w:spacing w:beforeLines="100" w:afterLines="50"/>
        <w:ind w:firstLine="480" w:firstLineChars="200"/>
        <w:rPr>
          <w:rFonts w:ascii="宋体" w:hAnsi="宋体" w:cs="宋体"/>
          <w:highlight w:val="none"/>
        </w:rPr>
      </w:pPr>
      <w:r>
        <w:rPr>
          <w:rFonts w:hint="eastAsia" w:ascii="宋体" w:hAnsi="宋体" w:cs="宋体"/>
          <w:highlight w:val="none"/>
        </w:rPr>
        <w:t>（1）企业性质、隶属关系；</w:t>
      </w:r>
    </w:p>
    <w:p w14:paraId="68B969CC">
      <w:pPr>
        <w:shd w:val="clear"/>
        <w:spacing w:beforeLines="100" w:afterLines="50"/>
        <w:ind w:firstLine="480" w:firstLineChars="200"/>
        <w:rPr>
          <w:rFonts w:ascii="宋体" w:hAnsi="宋体" w:cs="宋体"/>
          <w:highlight w:val="none"/>
        </w:rPr>
      </w:pPr>
      <w:r>
        <w:rPr>
          <w:rFonts w:hint="eastAsia" w:ascii="宋体" w:hAnsi="宋体" w:cs="宋体"/>
          <w:highlight w:val="none"/>
        </w:rPr>
        <w:t>（2）组织架构及业务范围；</w:t>
      </w:r>
    </w:p>
    <w:p w14:paraId="38CD4E30">
      <w:pPr>
        <w:shd w:val="clear"/>
        <w:spacing w:beforeLines="100" w:afterLines="50"/>
        <w:ind w:firstLine="480" w:firstLineChars="200"/>
        <w:rPr>
          <w:rFonts w:ascii="宋体" w:hAnsi="宋体" w:cs="宋体"/>
          <w:highlight w:val="none"/>
        </w:rPr>
      </w:pPr>
      <w:r>
        <w:rPr>
          <w:rFonts w:hint="eastAsia" w:ascii="宋体" w:hAnsi="宋体" w:cs="宋体"/>
          <w:highlight w:val="none"/>
        </w:rPr>
        <w:t>（3）主营业务情况；</w:t>
      </w:r>
    </w:p>
    <w:p w14:paraId="23CC44C7">
      <w:pPr>
        <w:shd w:val="clear"/>
        <w:spacing w:beforeLines="100" w:afterLines="50"/>
        <w:ind w:firstLine="480" w:firstLineChars="200"/>
        <w:rPr>
          <w:rFonts w:ascii="宋体" w:hAnsi="宋体" w:cs="宋体"/>
          <w:highlight w:val="none"/>
        </w:rPr>
      </w:pPr>
      <w:r>
        <w:rPr>
          <w:rFonts w:hint="eastAsia" w:ascii="宋体" w:hAnsi="宋体" w:cs="宋体"/>
          <w:highlight w:val="none"/>
        </w:rPr>
        <w:t>（4）职工人数（其中技术人员及管理人员情况）</w:t>
      </w:r>
    </w:p>
    <w:p w14:paraId="26C2CC6C">
      <w:pPr>
        <w:shd w:val="clear"/>
        <w:spacing w:beforeLines="100" w:afterLines="50"/>
        <w:ind w:firstLine="480" w:firstLineChars="200"/>
        <w:rPr>
          <w:rFonts w:ascii="宋体" w:hAnsi="宋体" w:cs="宋体"/>
          <w:highlight w:val="none"/>
        </w:rPr>
      </w:pPr>
      <w:r>
        <w:rPr>
          <w:rFonts w:hint="eastAsia" w:ascii="宋体" w:hAnsi="宋体" w:cs="宋体"/>
          <w:highlight w:val="none"/>
        </w:rPr>
        <w:t>3.法人或者其他组织的营业执照等证明文件，自然人的身份证明（具体要求详见初步审查表）</w:t>
      </w:r>
    </w:p>
    <w:p w14:paraId="13DC5A16">
      <w:pPr>
        <w:shd w:val="clear"/>
        <w:ind w:firstLineChars="20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br w:type="page"/>
      </w:r>
    </w:p>
    <w:p w14:paraId="12E8A9D3">
      <w:pPr>
        <w:pStyle w:val="15"/>
        <w:shd w:val="clear"/>
        <w:ind w:firstLine="480" w:firstLineChars="200"/>
        <w:rPr>
          <w:rFonts w:hint="eastAsia" w:ascii="宋体" w:hAnsi="宋体" w:eastAsia="宋体" w:cs="宋体"/>
          <w:kern w:val="0"/>
          <w:sz w:val="24"/>
          <w:szCs w:val="24"/>
          <w:highlight w:val="none"/>
          <w:lang w:val="en-US" w:eastAsia="zh-CN" w:bidi="ar-SA"/>
        </w:rPr>
      </w:pPr>
      <w:r>
        <w:rPr>
          <w:rFonts w:hint="eastAsia" w:ascii="宋体" w:hAnsi="宋体" w:cs="宋体"/>
          <w:kern w:val="0"/>
          <w:sz w:val="24"/>
          <w:szCs w:val="24"/>
          <w:highlight w:val="none"/>
          <w:lang w:val="en-US" w:eastAsia="zh-CN" w:bidi="ar-SA"/>
        </w:rPr>
        <w:t>4</w:t>
      </w:r>
      <w:r>
        <w:rPr>
          <w:rFonts w:hint="eastAsia" w:ascii="宋体" w:hAnsi="宋体" w:eastAsia="宋体" w:cs="宋体"/>
          <w:kern w:val="0"/>
          <w:sz w:val="24"/>
          <w:szCs w:val="24"/>
          <w:highlight w:val="none"/>
          <w:lang w:val="en-US" w:eastAsia="zh-CN" w:bidi="ar-SA"/>
        </w:rPr>
        <w:t>. 具备履行合同所必需的设备和专业技术能力的证明材料或承诺（具体要求详见初步审查表）示例：</w:t>
      </w:r>
    </w:p>
    <w:p w14:paraId="57EB37A0">
      <w:pPr>
        <w:shd w:val="clear"/>
        <w:spacing w:line="360" w:lineRule="auto"/>
        <w:ind w:firstLine="48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致：采购人名称</w:t>
      </w:r>
    </w:p>
    <w:p w14:paraId="4C01BDDE">
      <w:pPr>
        <w:shd w:val="clear"/>
        <w:spacing w:line="360" w:lineRule="auto"/>
        <w:ind w:firstLine="480"/>
        <w:rPr>
          <w:rFonts w:hint="eastAsia" w:ascii="宋体" w:hAnsi="宋体" w:eastAsia="宋体" w:cs="宋体"/>
          <w:kern w:val="0"/>
          <w:sz w:val="24"/>
          <w:szCs w:val="24"/>
          <w:highlight w:val="none"/>
          <w:lang w:val="en-US" w:eastAsia="zh-CN" w:bidi="ar-SA"/>
        </w:rPr>
      </w:pPr>
    </w:p>
    <w:p w14:paraId="019B4652">
      <w:pPr>
        <w:shd w:val="clear"/>
        <w:spacing w:line="360" w:lineRule="auto"/>
        <w:ind w:firstLine="48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我公司自愿参加     （项目名称）的比选，我公司承诺具备履行合同所必需的设备和专业技术能力。</w:t>
      </w:r>
    </w:p>
    <w:p w14:paraId="79BC6D98">
      <w:pPr>
        <w:shd w:val="clear"/>
        <w:spacing w:line="360" w:lineRule="auto"/>
        <w:ind w:firstLine="480"/>
        <w:rPr>
          <w:rFonts w:hint="eastAsia" w:ascii="宋体" w:hAnsi="宋体" w:eastAsia="宋体" w:cs="宋体"/>
          <w:kern w:val="0"/>
          <w:sz w:val="24"/>
          <w:szCs w:val="24"/>
          <w:highlight w:val="none"/>
          <w:lang w:val="en-US" w:eastAsia="zh-CN" w:bidi="ar-SA"/>
        </w:rPr>
      </w:pPr>
    </w:p>
    <w:p w14:paraId="637E45F7">
      <w:pPr>
        <w:shd w:val="clear"/>
        <w:spacing w:line="360" w:lineRule="auto"/>
        <w:ind w:firstLine="480"/>
        <w:rPr>
          <w:rFonts w:hint="eastAsia" w:ascii="宋体" w:hAnsi="宋体" w:eastAsia="宋体" w:cs="宋体"/>
          <w:kern w:val="0"/>
          <w:sz w:val="24"/>
          <w:szCs w:val="24"/>
          <w:highlight w:val="none"/>
          <w:lang w:val="en-US" w:eastAsia="zh-CN" w:bidi="ar-SA"/>
        </w:rPr>
      </w:pPr>
    </w:p>
    <w:p w14:paraId="22F541B3">
      <w:pPr>
        <w:shd w:val="clear"/>
        <w:spacing w:line="360" w:lineRule="auto"/>
        <w:ind w:firstLine="480"/>
        <w:jc w:val="right"/>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供应商名称（盖单位章）：XXX有限公司</w:t>
      </w:r>
    </w:p>
    <w:p w14:paraId="75568395">
      <w:pPr>
        <w:shd w:val="clear"/>
        <w:spacing w:line="360" w:lineRule="auto"/>
        <w:ind w:firstLine="480"/>
        <w:jc w:val="right"/>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法定代表人或委托代理人（签字或盖章）：</w:t>
      </w:r>
    </w:p>
    <w:p w14:paraId="01FD1AE5">
      <w:pPr>
        <w:shd w:val="clear"/>
        <w:spacing w:beforeLines="100" w:afterLines="50"/>
        <w:ind w:firstLine="6960" w:firstLineChars="290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日期：</w:t>
      </w:r>
    </w:p>
    <w:p w14:paraId="236D2527">
      <w:pPr>
        <w:shd w:val="clear"/>
        <w:spacing w:beforeLines="-2147483648" w:afterLines="-2147483648"/>
        <w:ind w:firstLine="0" w:firstLineChars="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br w:type="page"/>
      </w:r>
    </w:p>
    <w:p w14:paraId="05300D29">
      <w:pPr>
        <w:numPr>
          <w:ilvl w:val="0"/>
          <w:numId w:val="0"/>
        </w:numPr>
        <w:shd w:val="clear"/>
        <w:spacing w:beforeLines="100" w:afterLines="50"/>
        <w:ind w:firstLine="480" w:firstLineChars="200"/>
        <w:rPr>
          <w:rFonts w:hint="eastAsia" w:ascii="宋体" w:hAnsi="宋体" w:cs="宋体"/>
          <w:highlight w:val="none"/>
        </w:rPr>
      </w:pPr>
      <w:r>
        <w:rPr>
          <w:rFonts w:hint="eastAsia" w:ascii="宋体" w:hAnsi="宋体" w:cs="宋体"/>
          <w:sz w:val="24"/>
          <w:szCs w:val="24"/>
          <w:lang w:val="en-US" w:eastAsia="zh-CN" w:bidi="ar-SA"/>
        </w:rPr>
        <w:t>5</w:t>
      </w:r>
      <w:r>
        <w:rPr>
          <w:rFonts w:hint="eastAsia" w:ascii="宋体" w:hAnsi="宋体" w:eastAsia="宋体" w:cs="宋体"/>
          <w:sz w:val="24"/>
          <w:szCs w:val="24"/>
          <w:lang w:val="en-US" w:eastAsia="zh-CN" w:bidi="ar-SA"/>
        </w:rPr>
        <w:t>.</w:t>
      </w:r>
      <w:r>
        <w:rPr>
          <w:rFonts w:hint="eastAsia" w:ascii="宋体" w:hAnsi="宋体" w:cs="宋体"/>
          <w:highlight w:val="none"/>
        </w:rPr>
        <w:t>参加采购活动前3年内在经营活动中没有重大违法记录的书面声明（具体要求详见初步审查表）</w:t>
      </w:r>
    </w:p>
    <w:p w14:paraId="7EFF23BC">
      <w:pPr>
        <w:pStyle w:val="12"/>
        <w:shd w:val="clear"/>
        <w:spacing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无重大违法记录的声明</w:t>
      </w:r>
    </w:p>
    <w:p w14:paraId="050F265C">
      <w:pPr>
        <w:pStyle w:val="12"/>
        <w:shd w:val="clear"/>
        <w:spacing w:line="360" w:lineRule="auto"/>
        <w:rPr>
          <w:rFonts w:hint="eastAsia" w:ascii="宋体" w:hAnsi="宋体" w:eastAsia="宋体" w:cs="宋体"/>
          <w:kern w:val="0"/>
          <w:sz w:val="24"/>
          <w:szCs w:val="24"/>
          <w:highlight w:val="none"/>
          <w:lang w:val="en-US" w:eastAsia="zh-CN" w:bidi="ar-SA"/>
        </w:rPr>
      </w:pPr>
    </w:p>
    <w:p w14:paraId="4CDA10FE">
      <w:pPr>
        <w:pStyle w:val="12"/>
        <w:shd w:val="clear"/>
        <w:spacing w:line="360" w:lineRule="auto"/>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致：（采购人或采购代理机构）</w:t>
      </w:r>
    </w:p>
    <w:p w14:paraId="0E223A5C">
      <w:pPr>
        <w:pStyle w:val="12"/>
        <w:shd w:val="clear"/>
        <w:spacing w:line="360" w:lineRule="auto"/>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（供应商全称），参加贵单位组织的   项目名称的采购活动，在此郑重声明：我单位在参加本项目采购活动前3年内在经营活动中未因违法经营受到刑事处罚或者责令停产停业、吊销许可证或者执照、较大数额罚款等行政处罚。</w:t>
      </w:r>
    </w:p>
    <w:p w14:paraId="7BE6AF6A">
      <w:pPr>
        <w:pStyle w:val="12"/>
        <w:shd w:val="clear"/>
        <w:spacing w:line="360" w:lineRule="auto"/>
        <w:rPr>
          <w:rFonts w:hint="eastAsia" w:ascii="宋体" w:hAnsi="宋体" w:eastAsia="宋体" w:cs="宋体"/>
          <w:kern w:val="0"/>
          <w:sz w:val="24"/>
          <w:szCs w:val="24"/>
          <w:highlight w:val="none"/>
          <w:lang w:val="en-US" w:eastAsia="zh-CN" w:bidi="ar-SA"/>
        </w:rPr>
      </w:pPr>
    </w:p>
    <w:p w14:paraId="0647B130">
      <w:pPr>
        <w:pStyle w:val="12"/>
        <w:shd w:val="clear"/>
        <w:spacing w:line="360" w:lineRule="auto"/>
        <w:rPr>
          <w:rFonts w:hint="eastAsia" w:ascii="宋体" w:hAnsi="宋体" w:eastAsia="宋体" w:cs="宋体"/>
          <w:kern w:val="0"/>
          <w:sz w:val="24"/>
          <w:szCs w:val="24"/>
          <w:highlight w:val="none"/>
          <w:lang w:val="en-US" w:eastAsia="zh-CN" w:bidi="ar-SA"/>
        </w:rPr>
      </w:pPr>
    </w:p>
    <w:p w14:paraId="4DE36008">
      <w:pPr>
        <w:pStyle w:val="12"/>
        <w:shd w:val="clear"/>
        <w:spacing w:line="360" w:lineRule="auto"/>
        <w:jc w:val="right"/>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供应商名称（盖单位章）：XXX有限公司</w:t>
      </w:r>
    </w:p>
    <w:p w14:paraId="5E0ED30A">
      <w:pPr>
        <w:pStyle w:val="12"/>
        <w:shd w:val="clear"/>
        <w:spacing w:line="360" w:lineRule="auto"/>
        <w:jc w:val="right"/>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声明时间：</w:t>
      </w:r>
    </w:p>
    <w:p w14:paraId="55FBFEF4">
      <w:pPr>
        <w:pStyle w:val="43"/>
        <w:numPr>
          <w:ilvl w:val="0"/>
          <w:numId w:val="0"/>
        </w:numPr>
        <w:shd w:val="clear"/>
        <w:rPr>
          <w:highlight w:val="none"/>
        </w:rPr>
      </w:pPr>
    </w:p>
    <w:p w14:paraId="5681621D">
      <w:pPr>
        <w:pStyle w:val="12"/>
        <w:shd w:val="clear"/>
        <w:spacing w:line="360" w:lineRule="auto"/>
        <w:ind w:firstLine="480"/>
        <w:jc w:val="right"/>
        <w:rPr>
          <w:rFonts w:ascii="宋体" w:hAnsi="宋体" w:cs="宋体"/>
          <w:color w:val="auto"/>
          <w:kern w:val="0"/>
          <w:sz w:val="24"/>
          <w:highlight w:val="none"/>
        </w:rPr>
      </w:pPr>
    </w:p>
    <w:p w14:paraId="10F82717">
      <w:pPr>
        <w:shd w:val="clear"/>
        <w:spacing w:line="240" w:lineRule="auto"/>
        <w:ind w:firstLine="0" w:firstLineChars="0"/>
        <w:rPr>
          <w:rFonts w:hint="eastAsia" w:ascii="宋体" w:hAnsi="宋体" w:cs="宋体"/>
          <w:color w:val="auto"/>
          <w:highlight w:val="none"/>
          <w:lang w:val="en-US" w:eastAsia="zh-CN"/>
        </w:rPr>
      </w:pPr>
      <w:r>
        <w:rPr>
          <w:rFonts w:hint="eastAsia" w:ascii="宋体" w:hAnsi="宋体" w:cs="宋体"/>
          <w:color w:val="auto"/>
          <w:highlight w:val="none"/>
          <w:lang w:val="en-US" w:eastAsia="zh-CN"/>
        </w:rPr>
        <w:br w:type="page"/>
      </w:r>
    </w:p>
    <w:p w14:paraId="03C37C2A">
      <w:pPr>
        <w:shd w:val="clear"/>
        <w:spacing w:line="360" w:lineRule="auto"/>
        <w:ind w:firstLine="480" w:firstLineChars="200"/>
        <w:rPr>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w:t>
      </w:r>
      <w:r>
        <w:rPr>
          <w:rFonts w:hint="eastAsia" w:ascii="宋体" w:hAnsi="宋体" w:cs="宋体"/>
          <w:color w:val="auto"/>
          <w:highlight w:val="none"/>
          <w:lang w:val="en-US" w:eastAsia="zh-CN"/>
        </w:rPr>
        <w:t>提供在“信用中国”网站（www.creditchina.gov.cn）、中国政府采购网（www.ccgp.gov.cn）等渠道查询中未列入失信被执行人、重大税收违法案件当事人名单、政府采购严重违法失信行为记录名单的承诺；</w:t>
      </w:r>
    </w:p>
    <w:p w14:paraId="6C67043C">
      <w:pPr>
        <w:pStyle w:val="15"/>
        <w:shd w:val="clear"/>
        <w:ind w:firstLine="420" w:firstLineChars="200"/>
        <w:rPr>
          <w:rFonts w:hint="eastAsia" w:ascii="宋体" w:hAnsi="宋体" w:cs="宋体"/>
          <w:color w:val="000000" w:themeColor="text1"/>
          <w:highlight w:val="none"/>
          <w14:textFill>
            <w14:solidFill>
              <w14:schemeClr w14:val="tx1"/>
            </w14:solidFill>
          </w14:textFill>
        </w:rPr>
      </w:pPr>
    </w:p>
    <w:p w14:paraId="4E873729">
      <w:pPr>
        <w:shd w:val="clear"/>
        <w:spacing w:before="0" w:beforeLines="-2147483648" w:after="0" w:afterLines="-2147483648"/>
        <w:rPr>
          <w:rFonts w:hint="eastAsia" w:ascii="宋体" w:hAnsi="宋体" w:cs="宋体"/>
          <w:b/>
          <w:bCs/>
          <w:color w:val="000000" w:themeColor="text1"/>
          <w:highlight w:val="none"/>
          <w:lang w:val="en-US" w:eastAsia="zh-CN"/>
          <w14:textFill>
            <w14:solidFill>
              <w14:schemeClr w14:val="tx1"/>
            </w14:solidFill>
          </w14:textFill>
        </w:rPr>
      </w:pPr>
      <w:r>
        <w:rPr>
          <w:rFonts w:hint="eastAsia" w:ascii="宋体" w:hAnsi="宋体" w:cs="宋体"/>
          <w:b/>
          <w:bCs/>
          <w:color w:val="000000" w:themeColor="text1"/>
          <w:highlight w:val="none"/>
          <w:lang w:val="en-US" w:eastAsia="zh-CN"/>
          <w14:textFill>
            <w14:solidFill>
              <w14:schemeClr w14:val="tx1"/>
            </w14:solidFill>
          </w14:textFill>
        </w:rPr>
        <w:t>承诺内容参考：</w:t>
      </w:r>
    </w:p>
    <w:p w14:paraId="0ABD1177">
      <w:pPr>
        <w:pStyle w:val="12"/>
        <w:shd w:val="clear"/>
        <w:rPr>
          <w:rFonts w:hint="eastAsia" w:ascii="宋体" w:hAnsi="宋体" w:cs="宋体"/>
          <w:color w:val="000000" w:themeColor="text1"/>
          <w:highlight w:val="none"/>
          <w:lang w:val="en-US" w:eastAsia="zh-CN"/>
          <w14:textFill>
            <w14:solidFill>
              <w14:schemeClr w14:val="tx1"/>
            </w14:solidFill>
          </w14:textFill>
        </w:rPr>
      </w:pPr>
    </w:p>
    <w:p w14:paraId="2F67C957">
      <w:pPr>
        <w:shd w:val="clear"/>
        <w:jc w:val="center"/>
        <w:rPr>
          <w:rFonts w:hint="eastAsia" w:ascii="宋体" w:hAnsi="宋体" w:cs="宋体"/>
          <w:color w:val="000000" w:themeColor="text1"/>
          <w:sz w:val="32"/>
          <w:szCs w:val="32"/>
          <w:highlight w:val="none"/>
          <w:lang w:val="en-US" w:eastAsia="zh-CN"/>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承诺函</w:t>
      </w:r>
    </w:p>
    <w:p w14:paraId="5D65EC6F">
      <w:pPr>
        <w:pStyle w:val="12"/>
        <w:shd w:val="clear"/>
        <w:spacing w:line="360" w:lineRule="auto"/>
        <w:rPr>
          <w:rFonts w:hint="eastAsia" w:ascii="宋体" w:hAnsi="宋体" w:cs="宋体"/>
          <w:color w:val="000000" w:themeColor="text1"/>
          <w:sz w:val="24"/>
          <w:szCs w:val="24"/>
          <w:highlight w:val="none"/>
          <w:lang w:val="en-US" w:eastAsia="zh-CN"/>
          <w14:textFill>
            <w14:solidFill>
              <w14:schemeClr w14:val="tx1"/>
            </w14:solidFill>
          </w14:textFill>
        </w:rPr>
      </w:pPr>
    </w:p>
    <w:p w14:paraId="5449A40D">
      <w:pPr>
        <w:pStyle w:val="12"/>
        <w:shd w:val="clear"/>
        <w:spacing w:line="360" w:lineRule="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致：</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（采购人或招标代理机构）  </w:t>
      </w:r>
    </w:p>
    <w:p w14:paraId="37D2F394">
      <w:pPr>
        <w:shd w:val="clear"/>
        <w:spacing w:line="360" w:lineRule="auto"/>
        <w:ind w:firstLine="480" w:firstLineChars="200"/>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我司承诺，在“信用中国”网站（www.creditchina.gov.cn）、中国政府采购网（www.ccgp.gov.cn）等渠道查询中未被列入失信被执行人名单、重大税收违法案件当事人名单、政府采购严重违法失信行为记录名单中，如被列入失信被执行人、重大税收违法案件当事人名单、政府采购严重违法失信行为记录名单中的供应商取消其投标资格，并承担由此造成的一切法律责任及后果。</w:t>
      </w:r>
    </w:p>
    <w:p w14:paraId="4BD4F904">
      <w:pPr>
        <w:pStyle w:val="12"/>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特此承诺。</w:t>
      </w:r>
    </w:p>
    <w:p w14:paraId="70DC3D25">
      <w:pPr>
        <w:shd w:val="clear"/>
        <w:spacing w:line="360" w:lineRule="auto"/>
        <w:jc w:val="both"/>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5A2CF12F">
      <w:pPr>
        <w:shd w:val="clear"/>
        <w:spacing w:line="360" w:lineRule="auto"/>
        <w:ind w:firstLine="480" w:firstLineChars="200"/>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投标人（盖章）：</w:t>
      </w:r>
    </w:p>
    <w:p w14:paraId="6B7845A8">
      <w:pPr>
        <w:shd w:val="clear"/>
        <w:adjustRightInd w:val="0"/>
        <w:snapToGrid w:val="0"/>
        <w:spacing w:line="360" w:lineRule="auto"/>
        <w:ind w:firstLine="240" w:firstLineChars="100"/>
        <w:rPr>
          <w:rFonts w:ascii="宋体" w:hAnsi="宋体" w:cs="宋体"/>
          <w:color w:val="auto"/>
          <w:highlight w:val="none"/>
        </w:rPr>
      </w:pPr>
    </w:p>
    <w:p w14:paraId="1F845832">
      <w:pPr>
        <w:shd w:val="clear"/>
        <w:adjustRightInd w:val="0"/>
        <w:snapToGrid w:val="0"/>
        <w:spacing w:line="360" w:lineRule="auto"/>
        <w:ind w:firstLine="240" w:firstLineChars="100"/>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.参选人认为有必要提供的其他资料</w:t>
      </w:r>
    </w:p>
    <w:p w14:paraId="1C71B5C5">
      <w:pPr>
        <w:shd w:val="clear"/>
        <w:adjustRightInd w:val="0"/>
        <w:snapToGrid w:val="0"/>
        <w:spacing w:line="360" w:lineRule="auto"/>
        <w:ind w:firstLine="241" w:firstLineChars="100"/>
        <w:rPr>
          <w:rFonts w:ascii="宋体" w:hAnsi="宋体" w:cs="宋体"/>
          <w:b/>
          <w:bCs/>
          <w:color w:val="auto"/>
          <w:highlight w:val="none"/>
        </w:rPr>
      </w:pPr>
      <w:r>
        <w:rPr>
          <w:rFonts w:hint="eastAsia" w:ascii="宋体" w:hAnsi="宋体" w:cs="宋体"/>
          <w:b/>
          <w:bCs/>
          <w:color w:val="auto"/>
          <w:highlight w:val="none"/>
        </w:rPr>
        <w:t>(具体事项，详见初步审查表)</w:t>
      </w:r>
    </w:p>
    <w:p w14:paraId="02848B4F">
      <w:pPr>
        <w:shd w:val="clear"/>
        <w:spacing w:line="360" w:lineRule="auto"/>
        <w:rPr>
          <w:color w:val="auto"/>
          <w:highlight w:val="none"/>
        </w:rPr>
      </w:pPr>
    </w:p>
    <w:p w14:paraId="4E192990">
      <w:pPr>
        <w:shd w:val="clear"/>
        <w:adjustRightInd w:val="0"/>
        <w:snapToGrid w:val="0"/>
        <w:spacing w:line="360" w:lineRule="auto"/>
        <w:rPr>
          <w:rFonts w:ascii="宋体" w:hAnsi="宋体" w:cs="宋体"/>
          <w:b/>
          <w:bCs/>
          <w:color w:val="auto"/>
          <w:highlight w:val="none"/>
        </w:rPr>
      </w:pPr>
      <w:r>
        <w:rPr>
          <w:rFonts w:hint="eastAsia" w:ascii="宋体" w:hAnsi="宋体" w:cs="宋体"/>
          <w:b/>
          <w:bCs/>
          <w:color w:val="auto"/>
          <w:highlight w:val="none"/>
        </w:rPr>
        <w:t>注：</w:t>
      </w:r>
    </w:p>
    <w:p w14:paraId="51EA07AD">
      <w:pPr>
        <w:shd w:val="clear"/>
        <w:spacing w:line="360" w:lineRule="auto"/>
        <w:ind w:firstLine="360" w:firstLineChars="150"/>
        <w:rPr>
          <w:rFonts w:ascii="黑体" w:hAnsi="黑体" w:eastAsia="黑体" w:cs="宋体"/>
          <w:color w:val="auto"/>
          <w:highlight w:val="none"/>
        </w:rPr>
      </w:pPr>
      <w:r>
        <w:rPr>
          <w:rFonts w:hint="eastAsia" w:ascii="黑体" w:hAnsi="黑体" w:eastAsia="黑体" w:cs="宋体"/>
          <w:color w:val="auto"/>
          <w:highlight w:val="none"/>
        </w:rPr>
        <w:t>比选文件中要求提交的资料未列出相应格式的，须自拟格式。</w:t>
      </w:r>
    </w:p>
    <w:p w14:paraId="3A528830">
      <w:pPr>
        <w:widowControl w:val="0"/>
        <w:shd w:val="clear"/>
        <w:spacing w:line="360" w:lineRule="auto"/>
        <w:ind w:firstLineChars="0"/>
        <w:rPr>
          <w:rFonts w:ascii="宋体" w:hAnsi="宋体" w:cs="宋体"/>
          <w:b/>
          <w:color w:val="auto"/>
          <w:sz w:val="44"/>
          <w:szCs w:val="44"/>
          <w:highlight w:val="none"/>
        </w:rPr>
      </w:pPr>
    </w:p>
    <w:p w14:paraId="2F661B0C">
      <w:pPr>
        <w:shd w:val="clear"/>
        <w:spacing w:line="360" w:lineRule="auto"/>
        <w:rPr>
          <w:rFonts w:ascii="宋体" w:hAnsi="宋体" w:cs="宋体"/>
          <w:b/>
          <w:color w:val="auto"/>
          <w:kern w:val="2"/>
          <w:sz w:val="44"/>
          <w:szCs w:val="44"/>
          <w:highlight w:val="none"/>
        </w:rPr>
      </w:pPr>
      <w:r>
        <w:rPr>
          <w:rFonts w:ascii="宋体" w:hAnsi="宋体" w:cs="宋体"/>
          <w:b/>
          <w:color w:val="auto"/>
          <w:kern w:val="2"/>
          <w:sz w:val="44"/>
          <w:szCs w:val="44"/>
          <w:highlight w:val="none"/>
        </w:rPr>
        <w:br w:type="page"/>
      </w:r>
    </w:p>
    <w:p w14:paraId="23E0B2F7">
      <w:pPr>
        <w:numPr>
          <w:ilvl w:val="-1"/>
          <w:numId w:val="0"/>
        </w:numPr>
        <w:shd w:val="clear"/>
        <w:adjustRightInd w:val="0"/>
        <w:spacing w:line="440" w:lineRule="exact"/>
        <w:ind w:leftChars="0"/>
        <w:rPr>
          <w:rFonts w:hint="eastAsia" w:ascii="宋体" w:hAnsi="宋体" w:cs="宋体"/>
          <w:color w:val="000000" w:themeColor="text1"/>
          <w:highlight w:val="none"/>
          <w:lang w:val="en-US" w:eastAsia="zh-CN"/>
          <w14:textFill>
            <w14:solidFill>
              <w14:schemeClr w14:val="tx1"/>
            </w14:solidFill>
          </w14:textFill>
        </w:rPr>
      </w:pPr>
      <w:r>
        <w:rPr>
          <w:rFonts w:hint="eastAsia" w:ascii="黑体" w:hAnsi="黑体" w:eastAsia="黑体" w:cs="宋体"/>
          <w:color w:val="000000" w:themeColor="text1"/>
          <w:sz w:val="24"/>
          <w:szCs w:val="24"/>
          <w:highlight w:val="none"/>
          <w14:textFill>
            <w14:solidFill>
              <w14:schemeClr w14:val="tx1"/>
            </w14:solidFill>
          </w14:textFill>
        </w:rPr>
        <w:t>三、技术文件</w:t>
      </w:r>
    </w:p>
    <w:p w14:paraId="68146685">
      <w:pPr>
        <w:pStyle w:val="19"/>
        <w:widowControl w:val="0"/>
        <w:shd w:val="clear"/>
        <w:spacing w:line="440" w:lineRule="exact"/>
        <w:ind w:firstLine="437"/>
        <w:rPr>
          <w:rFonts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hAnsi="宋体" w:cs="宋体"/>
          <w:color w:val="000000" w:themeColor="text1"/>
          <w:sz w:val="24"/>
          <w:szCs w:val="24"/>
          <w:highlight w:val="none"/>
          <w14:textFill>
            <w14:solidFill>
              <w14:schemeClr w14:val="tx1"/>
            </w14:solidFill>
          </w14:textFill>
        </w:rPr>
        <w:t>响应本</w:t>
      </w:r>
      <w:r>
        <w:rPr>
          <w:rFonts w:hint="eastAsia" w:hAnsi="宋体" w:cs="宋体"/>
          <w:color w:val="000000" w:themeColor="text1"/>
          <w:sz w:val="24"/>
          <w:szCs w:val="24"/>
          <w:highlight w:val="none"/>
          <w:lang w:val="en-US" w:eastAsia="zh-CN"/>
          <w14:textFill>
            <w14:solidFill>
              <w14:schemeClr w14:val="tx1"/>
            </w14:solidFill>
          </w14:textFill>
        </w:rPr>
        <w:t>采购</w:t>
      </w:r>
      <w:r>
        <w:rPr>
          <w:rFonts w:hint="eastAsia" w:hAnsi="宋体" w:cs="宋体"/>
          <w:color w:val="000000" w:themeColor="text1"/>
          <w:sz w:val="24"/>
          <w:szCs w:val="24"/>
          <w:highlight w:val="none"/>
          <w14:textFill>
            <w14:solidFill>
              <w14:schemeClr w14:val="tx1"/>
            </w14:solidFill>
          </w14:textFill>
        </w:rPr>
        <w:t>文件第二章采购内容及要求 的详细阐述，应包含但不限于以下内容：</w:t>
      </w:r>
    </w:p>
    <w:p w14:paraId="1026EDC7">
      <w:pPr>
        <w:pStyle w:val="12"/>
        <w:numPr>
          <w:ilvl w:val="-1"/>
          <w:numId w:val="0"/>
        </w:numPr>
        <w:shd w:val="clear"/>
        <w:ind w:firstLine="0" w:firstLineChars="0"/>
        <w:rPr>
          <w:rFonts w:hint="default"/>
          <w:color w:val="000000" w:themeColor="text1"/>
          <w:highlight w:val="none"/>
          <w:lang w:val="en-US" w:eastAsia="zh-CN"/>
          <w14:textFill>
            <w14:solidFill>
              <w14:schemeClr w14:val="tx1"/>
            </w14:solidFill>
          </w14:textFill>
        </w:rPr>
      </w:pPr>
    </w:p>
    <w:p w14:paraId="1984D0F4">
      <w:pPr>
        <w:shd w:val="clear"/>
        <w:adjustRightInd w:val="0"/>
        <w:spacing w:line="440" w:lineRule="exact"/>
        <w:ind w:firstLine="48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技术</w:t>
      </w:r>
      <w:r>
        <w:rPr>
          <w:rFonts w:hint="eastAsia" w:ascii="宋体" w:hAnsi="宋体" w:cs="宋体"/>
          <w:color w:val="000000" w:themeColor="text1"/>
          <w:highlight w:val="none"/>
          <w14:textFill>
            <w14:solidFill>
              <w14:schemeClr w14:val="tx1"/>
            </w14:solidFill>
          </w14:textFill>
        </w:rPr>
        <w:t>偏离情况</w:t>
      </w:r>
    </w:p>
    <w:p w14:paraId="7AEC4272">
      <w:pPr>
        <w:shd w:val="clear"/>
        <w:spacing w:line="580" w:lineRule="exact"/>
        <w:ind w:left="-10" w:firstLine="11"/>
        <w:jc w:val="center"/>
        <w:rPr>
          <w:rFonts w:ascii="宋体" w:hAnsi="宋体" w:cs="宋体"/>
          <w:color w:val="000000" w:themeColor="text1"/>
          <w:sz w:val="36"/>
          <w:szCs w:val="36"/>
          <w:highlight w:val="none"/>
          <w14:textFill>
            <w14:solidFill>
              <w14:schemeClr w14:val="tx1"/>
            </w14:solidFill>
          </w14:textFill>
        </w:rPr>
      </w:pPr>
      <w:r>
        <w:rPr>
          <w:rFonts w:hint="eastAsia" w:ascii="宋体" w:hAnsi="宋体" w:cs="宋体"/>
          <w:color w:val="000000" w:themeColor="text1"/>
          <w:sz w:val="36"/>
          <w:szCs w:val="36"/>
          <w:highlight w:val="none"/>
          <w:lang w:val="en-US" w:eastAsia="zh-CN"/>
          <w14:textFill>
            <w14:solidFill>
              <w14:schemeClr w14:val="tx1"/>
            </w14:solidFill>
          </w14:textFill>
        </w:rPr>
        <w:t>技术</w:t>
      </w:r>
      <w:r>
        <w:rPr>
          <w:rFonts w:hint="eastAsia" w:ascii="宋体" w:hAnsi="宋体" w:cs="宋体"/>
          <w:color w:val="000000" w:themeColor="text1"/>
          <w:sz w:val="36"/>
          <w:szCs w:val="36"/>
          <w:highlight w:val="none"/>
          <w14:textFill>
            <w14:solidFill>
              <w14:schemeClr w14:val="tx1"/>
            </w14:solidFill>
          </w14:textFill>
        </w:rPr>
        <w:t>偏离表（格式一）</w:t>
      </w:r>
    </w:p>
    <w:p w14:paraId="2F21669E">
      <w:pPr>
        <w:pStyle w:val="19"/>
        <w:shd w:val="clear"/>
        <w:spacing w:before="312" w:beforeLines="100" w:after="156" w:afterLines="50"/>
        <w:ind w:firstLine="480"/>
        <w:rPr>
          <w:rFonts w:hAnsi="宋体" w:cs="宋体"/>
          <w:color w:val="000000" w:themeColor="text1"/>
          <w:sz w:val="24"/>
          <w:szCs w:val="24"/>
          <w:highlight w:val="none"/>
          <w14:textFill>
            <w14:solidFill>
              <w14:schemeClr w14:val="tx1"/>
            </w14:solidFill>
          </w14:textFill>
        </w:rPr>
      </w:pPr>
      <w:r>
        <w:rPr>
          <w:rFonts w:hint="eastAsia" w:hAnsi="宋体" w:cs="宋体"/>
          <w:color w:val="000000" w:themeColor="text1"/>
          <w:sz w:val="24"/>
          <w:szCs w:val="24"/>
          <w:highlight w:val="none"/>
          <w14:textFill>
            <w14:solidFill>
              <w14:schemeClr w14:val="tx1"/>
            </w14:solidFill>
          </w14:textFill>
        </w:rPr>
        <w:t>项目名称：                                  项目编号：</w:t>
      </w:r>
    </w:p>
    <w:tbl>
      <w:tblPr>
        <w:tblStyle w:val="34"/>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14:paraId="71119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0D04AE7A">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序号</w:t>
            </w:r>
          </w:p>
        </w:tc>
        <w:tc>
          <w:tcPr>
            <w:tcW w:w="2263" w:type="dxa"/>
            <w:vAlign w:val="center"/>
          </w:tcPr>
          <w:p w14:paraId="482A5436">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技术</w:t>
            </w:r>
            <w:r>
              <w:rPr>
                <w:rFonts w:hint="eastAsia" w:ascii="宋体" w:hAnsi="宋体" w:cs="宋体"/>
                <w:color w:val="000000" w:themeColor="text1"/>
                <w:highlight w:val="none"/>
                <w14:textFill>
                  <w14:solidFill>
                    <w14:schemeClr w14:val="tx1"/>
                  </w14:solidFill>
                </w14:textFill>
              </w:rPr>
              <w:t>条款</w:t>
            </w:r>
          </w:p>
        </w:tc>
        <w:tc>
          <w:tcPr>
            <w:tcW w:w="2001" w:type="dxa"/>
            <w:vAlign w:val="center"/>
          </w:tcPr>
          <w:p w14:paraId="4937A5A9">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比选</w:t>
            </w:r>
            <w:r>
              <w:rPr>
                <w:rFonts w:hint="eastAsia" w:ascii="宋体" w:hAnsi="宋体" w:cs="宋体"/>
                <w:color w:val="000000" w:themeColor="text1"/>
                <w:highlight w:val="none"/>
                <w14:textFill>
                  <w14:solidFill>
                    <w14:schemeClr w14:val="tx1"/>
                  </w14:solidFill>
                </w14:textFill>
              </w:rPr>
              <w:t>文件要求</w:t>
            </w:r>
          </w:p>
        </w:tc>
        <w:tc>
          <w:tcPr>
            <w:tcW w:w="2652" w:type="dxa"/>
            <w:vAlign w:val="center"/>
          </w:tcPr>
          <w:p w14:paraId="26794033">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响应文件响应情况</w:t>
            </w:r>
          </w:p>
        </w:tc>
        <w:tc>
          <w:tcPr>
            <w:tcW w:w="1399" w:type="dxa"/>
            <w:vAlign w:val="center"/>
          </w:tcPr>
          <w:p w14:paraId="3123C62E">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偏离情况</w:t>
            </w:r>
          </w:p>
        </w:tc>
      </w:tr>
      <w:tr w14:paraId="55DF9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539739DE">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w:t>
            </w:r>
          </w:p>
        </w:tc>
        <w:tc>
          <w:tcPr>
            <w:tcW w:w="2263" w:type="dxa"/>
            <w:vAlign w:val="center"/>
          </w:tcPr>
          <w:p w14:paraId="45597CB2">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63744EB4">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6AC88EE1">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51F6FCAB">
            <w:pPr>
              <w:shd w:val="clear"/>
              <w:rPr>
                <w:rFonts w:ascii="宋体" w:hAnsi="宋体" w:cs="宋体"/>
                <w:color w:val="000000" w:themeColor="text1"/>
                <w:highlight w:val="none"/>
                <w14:textFill>
                  <w14:solidFill>
                    <w14:schemeClr w14:val="tx1"/>
                  </w14:solidFill>
                </w14:textFill>
              </w:rPr>
            </w:pPr>
          </w:p>
        </w:tc>
      </w:tr>
      <w:tr w14:paraId="326F7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3847F0EC">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w:t>
            </w:r>
          </w:p>
        </w:tc>
        <w:tc>
          <w:tcPr>
            <w:tcW w:w="2263" w:type="dxa"/>
            <w:vAlign w:val="center"/>
          </w:tcPr>
          <w:p w14:paraId="234F6AC3">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45D889DF">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1062EF7B">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0315B8A2">
            <w:pPr>
              <w:shd w:val="clear"/>
              <w:rPr>
                <w:rFonts w:ascii="宋体" w:hAnsi="宋体" w:cs="宋体"/>
                <w:color w:val="000000" w:themeColor="text1"/>
                <w:highlight w:val="none"/>
                <w14:textFill>
                  <w14:solidFill>
                    <w14:schemeClr w14:val="tx1"/>
                  </w14:solidFill>
                </w14:textFill>
              </w:rPr>
            </w:pPr>
          </w:p>
        </w:tc>
      </w:tr>
      <w:tr w14:paraId="308FC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02DCC42B">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w:t>
            </w:r>
          </w:p>
        </w:tc>
        <w:tc>
          <w:tcPr>
            <w:tcW w:w="2263" w:type="dxa"/>
            <w:vAlign w:val="center"/>
          </w:tcPr>
          <w:p w14:paraId="44CD11D9">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2DC2864A">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2D3C43B7">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55C53521">
            <w:pPr>
              <w:shd w:val="clear"/>
              <w:rPr>
                <w:rFonts w:ascii="宋体" w:hAnsi="宋体" w:cs="宋体"/>
                <w:color w:val="000000" w:themeColor="text1"/>
                <w:highlight w:val="none"/>
                <w14:textFill>
                  <w14:solidFill>
                    <w14:schemeClr w14:val="tx1"/>
                  </w14:solidFill>
                </w14:textFill>
              </w:rPr>
            </w:pPr>
          </w:p>
        </w:tc>
      </w:tr>
      <w:tr w14:paraId="07364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39ECB3AA">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4</w:t>
            </w:r>
          </w:p>
        </w:tc>
        <w:tc>
          <w:tcPr>
            <w:tcW w:w="2263" w:type="dxa"/>
            <w:vAlign w:val="center"/>
          </w:tcPr>
          <w:p w14:paraId="15AAD37D">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112037C7">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0FA5E8CA">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7B2CFEE7">
            <w:pPr>
              <w:shd w:val="clear"/>
              <w:rPr>
                <w:rFonts w:ascii="宋体" w:hAnsi="宋体" w:cs="宋体"/>
                <w:color w:val="000000" w:themeColor="text1"/>
                <w:highlight w:val="none"/>
                <w14:textFill>
                  <w14:solidFill>
                    <w14:schemeClr w14:val="tx1"/>
                  </w14:solidFill>
                </w14:textFill>
              </w:rPr>
            </w:pPr>
          </w:p>
        </w:tc>
      </w:tr>
      <w:tr w14:paraId="2AD9F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0C917B62">
            <w:pPr>
              <w:shd w:val="clea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w:t>
            </w:r>
          </w:p>
        </w:tc>
        <w:tc>
          <w:tcPr>
            <w:tcW w:w="2263" w:type="dxa"/>
            <w:vAlign w:val="center"/>
          </w:tcPr>
          <w:p w14:paraId="5A110686">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3212F72E">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4C3319B6">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1AA32DB1">
            <w:pPr>
              <w:shd w:val="clear"/>
              <w:rPr>
                <w:rFonts w:ascii="宋体" w:hAnsi="宋体" w:cs="宋体"/>
                <w:color w:val="000000" w:themeColor="text1"/>
                <w:highlight w:val="none"/>
                <w14:textFill>
                  <w14:solidFill>
                    <w14:schemeClr w14:val="tx1"/>
                  </w14:solidFill>
                </w14:textFill>
              </w:rPr>
            </w:pPr>
          </w:p>
        </w:tc>
      </w:tr>
    </w:tbl>
    <w:p w14:paraId="741D024A">
      <w:pPr>
        <w:shd w:val="clear"/>
        <w:ind w:firstLine="491" w:firstLineChars="205"/>
        <w:rPr>
          <w:rFonts w:ascii="宋体" w:hAnsi="宋体" w:cs="宋体"/>
          <w:color w:val="000000" w:themeColor="text1"/>
          <w:highlight w:val="none"/>
          <w14:textFill>
            <w14:solidFill>
              <w14:schemeClr w14:val="tx1"/>
            </w14:solidFill>
          </w14:textFill>
        </w:rPr>
      </w:pPr>
    </w:p>
    <w:p w14:paraId="3B128ED7">
      <w:pPr>
        <w:shd w:val="clear"/>
        <w:ind w:firstLine="491" w:firstLineChars="205"/>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注：无论供应商递交的响应文件与</w:t>
      </w:r>
      <w:r>
        <w:rPr>
          <w:rFonts w:hint="eastAsia" w:ascii="宋体" w:hAnsi="宋体" w:cs="宋体"/>
          <w:color w:val="000000" w:themeColor="text1"/>
          <w:highlight w:val="none"/>
          <w:lang w:eastAsia="zh-CN"/>
          <w14:textFill>
            <w14:solidFill>
              <w14:schemeClr w14:val="tx1"/>
            </w14:solidFill>
          </w14:textFill>
        </w:rPr>
        <w:t>比选</w:t>
      </w:r>
      <w:r>
        <w:rPr>
          <w:rFonts w:hint="eastAsia" w:ascii="宋体" w:hAnsi="宋体" w:cs="宋体"/>
          <w:color w:val="000000" w:themeColor="text1"/>
          <w:highlight w:val="none"/>
          <w14:textFill>
            <w14:solidFill>
              <w14:schemeClr w14:val="tx1"/>
            </w14:solidFill>
          </w14:textFill>
        </w:rPr>
        <w:t>文件</w:t>
      </w:r>
      <w:r>
        <w:rPr>
          <w:rFonts w:hint="eastAsia" w:ascii="宋体" w:hAnsi="宋体" w:cs="宋体"/>
          <w:color w:val="000000" w:themeColor="text1"/>
          <w:highlight w:val="none"/>
          <w:lang w:val="en-US" w:eastAsia="zh-CN"/>
          <w14:textFill>
            <w14:solidFill>
              <w14:schemeClr w14:val="tx1"/>
            </w14:solidFill>
          </w14:textFill>
        </w:rPr>
        <w:t>技术</w:t>
      </w:r>
      <w:r>
        <w:rPr>
          <w:rFonts w:hint="eastAsia" w:ascii="宋体" w:hAnsi="宋体" w:cs="宋体"/>
          <w:color w:val="000000" w:themeColor="text1"/>
          <w:highlight w:val="none"/>
          <w14:textFill>
            <w14:solidFill>
              <w14:schemeClr w14:val="tx1"/>
            </w14:solidFill>
          </w14:textFill>
        </w:rPr>
        <w:t>条款的要求是否有偏离，均应逐条列在</w:t>
      </w:r>
      <w:r>
        <w:rPr>
          <w:rFonts w:hint="eastAsia" w:ascii="宋体" w:hAnsi="宋体" w:cs="宋体"/>
          <w:color w:val="000000" w:themeColor="text1"/>
          <w:highlight w:val="none"/>
          <w:lang w:val="en-US" w:eastAsia="zh-CN"/>
          <w14:textFill>
            <w14:solidFill>
              <w14:schemeClr w14:val="tx1"/>
            </w14:solidFill>
          </w14:textFill>
        </w:rPr>
        <w:t>技术</w:t>
      </w:r>
      <w:r>
        <w:rPr>
          <w:rFonts w:hint="eastAsia" w:ascii="宋体" w:hAnsi="宋体" w:cs="宋体"/>
          <w:color w:val="000000" w:themeColor="text1"/>
          <w:highlight w:val="none"/>
          <w14:textFill>
            <w14:solidFill>
              <w14:schemeClr w14:val="tx1"/>
            </w14:solidFill>
          </w14:textFill>
        </w:rPr>
        <w:t>偏离表中。</w:t>
      </w:r>
    </w:p>
    <w:p w14:paraId="70AE6E29">
      <w:pPr>
        <w:shd w:val="clear"/>
        <w:ind w:firstLine="491" w:firstLineChars="205"/>
        <w:rPr>
          <w:rFonts w:ascii="宋体" w:hAnsi="宋体" w:cs="宋体"/>
          <w:color w:val="000000" w:themeColor="text1"/>
          <w:highlight w:val="none"/>
          <w14:textFill>
            <w14:solidFill>
              <w14:schemeClr w14:val="tx1"/>
            </w14:solidFill>
          </w14:textFill>
        </w:rPr>
      </w:pPr>
    </w:p>
    <w:p w14:paraId="3FD38841">
      <w:pPr>
        <w:shd w:val="clear"/>
        <w:ind w:firstLine="491" w:firstLineChars="205"/>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p>
    <w:p w14:paraId="1035CD60">
      <w:pPr>
        <w:shd w:val="clear"/>
        <w:ind w:firstLine="491" w:firstLineChars="205"/>
        <w:rPr>
          <w:rFonts w:ascii="宋体" w:hAnsi="宋体" w:cs="宋体"/>
          <w:color w:val="000000" w:themeColor="text1"/>
          <w:highlight w:val="none"/>
          <w14:textFill>
            <w14:solidFill>
              <w14:schemeClr w14:val="tx1"/>
            </w14:solidFill>
          </w14:textFill>
        </w:rPr>
      </w:pPr>
    </w:p>
    <w:p w14:paraId="586C0D4E">
      <w:pPr>
        <w:shd w:val="clear"/>
        <w:ind w:firstLine="491" w:firstLineChars="205"/>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供应商名称（盖章）：XXX有限公司</w:t>
      </w:r>
    </w:p>
    <w:p w14:paraId="271FD314">
      <w:pPr>
        <w:shd w:val="clear"/>
        <w:wordWrap w:val="0"/>
        <w:adjustRightInd w:val="0"/>
        <w:ind w:firstLine="480" w:firstLineChars="200"/>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法定代表人或授权代表（签字）：</w:t>
      </w:r>
    </w:p>
    <w:p w14:paraId="58DC39A6">
      <w:pPr>
        <w:shd w:val="clear"/>
        <w:adjustRightInd w:val="0"/>
        <w:ind w:firstLine="480" w:firstLineChars="200"/>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日期：年月日</w:t>
      </w:r>
    </w:p>
    <w:p w14:paraId="168FC4CB">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7084A25C">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36ED9969">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01E73672">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r>
        <w:rPr>
          <w:rFonts w:hint="eastAsia" w:hAnsi="宋体" w:cs="宋体"/>
          <w:color w:val="000000" w:themeColor="text1"/>
          <w:sz w:val="36"/>
          <w:szCs w:val="36"/>
          <w:highlight w:val="none"/>
          <w:lang w:val="en-US" w:eastAsia="zh-CN"/>
          <w14:textFill>
            <w14:solidFill>
              <w14:schemeClr w14:val="tx1"/>
            </w14:solidFill>
          </w14:textFill>
        </w:rPr>
        <w:t>技术</w:t>
      </w:r>
      <w:r>
        <w:rPr>
          <w:rFonts w:hint="eastAsia" w:hAnsi="宋体" w:cs="宋体"/>
          <w:color w:val="000000" w:themeColor="text1"/>
          <w:sz w:val="36"/>
          <w:szCs w:val="36"/>
          <w:highlight w:val="none"/>
          <w14:textFill>
            <w14:solidFill>
              <w14:schemeClr w14:val="tx1"/>
            </w14:solidFill>
          </w14:textFill>
        </w:rPr>
        <w:t>符合性承诺（格式二）</w:t>
      </w:r>
    </w:p>
    <w:p w14:paraId="0CFB3ADB">
      <w:pPr>
        <w:pStyle w:val="19"/>
        <w:shd w:val="clear"/>
        <w:spacing w:line="440" w:lineRule="exact"/>
        <w:ind w:firstLine="437"/>
        <w:rPr>
          <w:rFonts w:hAnsi="宋体" w:cs="宋体"/>
          <w:color w:val="000000" w:themeColor="text1"/>
          <w:sz w:val="24"/>
          <w:szCs w:val="24"/>
          <w:highlight w:val="none"/>
          <w14:textFill>
            <w14:solidFill>
              <w14:schemeClr w14:val="tx1"/>
            </w14:solidFill>
          </w14:textFill>
        </w:rPr>
      </w:pPr>
    </w:p>
    <w:p w14:paraId="121E1F5C">
      <w:pPr>
        <w:shd w:val="clear"/>
        <w:ind w:firstLine="720" w:firstLineChars="200"/>
        <w:jc w:val="center"/>
        <w:rPr>
          <w:rFonts w:hAnsi="宋体" w:cs="宋体"/>
          <w:color w:val="000000" w:themeColor="text1"/>
          <w:sz w:val="36"/>
          <w:szCs w:val="36"/>
          <w:highlight w:val="none"/>
          <w14:textFill>
            <w14:solidFill>
              <w14:schemeClr w14:val="tx1"/>
            </w14:solidFill>
          </w14:textFill>
        </w:rPr>
      </w:pPr>
      <w:r>
        <w:rPr>
          <w:rFonts w:hint="eastAsia" w:hAnsi="宋体" w:cs="宋体"/>
          <w:color w:val="000000" w:themeColor="text1"/>
          <w:sz w:val="36"/>
          <w:szCs w:val="36"/>
          <w:highlight w:val="none"/>
          <w14:textFill>
            <w14:solidFill>
              <w14:schemeClr w14:val="tx1"/>
            </w14:solidFill>
          </w14:textFill>
        </w:rPr>
        <w:t>（即为承诺无负偏离，格式自拟）</w:t>
      </w:r>
    </w:p>
    <w:p w14:paraId="2E21BE69">
      <w:pPr>
        <w:pStyle w:val="12"/>
        <w:numPr>
          <w:ilvl w:val="0"/>
          <w:numId w:val="0"/>
        </w:numPr>
        <w:shd w:val="clear"/>
        <w:ind w:leftChars="200"/>
        <w:rPr>
          <w:rFonts w:hint="default"/>
          <w:color w:val="000000" w:themeColor="text1"/>
          <w:highlight w:val="none"/>
          <w:lang w:val="en-US" w:eastAsia="zh-CN"/>
          <w14:textFill>
            <w14:solidFill>
              <w14:schemeClr w14:val="tx1"/>
            </w14:solidFill>
          </w14:textFill>
        </w:rPr>
      </w:pPr>
    </w:p>
    <w:p w14:paraId="0173030A">
      <w:pPr>
        <w:shd w:val="clear"/>
        <w:rPr>
          <w:rFonts w:hint="eastAsia" w:ascii="黑体" w:hAnsi="黑体" w:eastAsia="黑体" w:cs="宋体"/>
          <w:color w:val="000000" w:themeColor="text1"/>
          <w:highlight w:val="none"/>
          <w:lang w:val="en-US" w:eastAsia="zh-CN"/>
          <w14:textFill>
            <w14:solidFill>
              <w14:schemeClr w14:val="tx1"/>
            </w14:solidFill>
          </w14:textFill>
        </w:rPr>
      </w:pPr>
      <w:r>
        <w:rPr>
          <w:rFonts w:hint="eastAsia" w:ascii="黑体" w:hAnsi="黑体" w:eastAsia="黑体" w:cs="宋体"/>
          <w:color w:val="000000" w:themeColor="text1"/>
          <w:highlight w:val="none"/>
          <w:lang w:val="en-US" w:eastAsia="zh-CN"/>
          <w14:textFill>
            <w14:solidFill>
              <w14:schemeClr w14:val="tx1"/>
            </w14:solidFill>
          </w14:textFill>
        </w:rPr>
        <w:br w:type="page"/>
      </w:r>
    </w:p>
    <w:p w14:paraId="1112800F">
      <w:pPr>
        <w:shd w:val="clear"/>
        <w:spacing w:before="312" w:beforeLines="100" w:after="156" w:afterLines="50"/>
        <w:rPr>
          <w:rFonts w:hint="eastAsia" w:ascii="宋体" w:hAnsi="宋体" w:cs="宋体"/>
          <w:b/>
          <w:bCs/>
          <w:color w:val="000000" w:themeColor="text1"/>
          <w:highlight w:val="none"/>
          <w:lang w:val="en-US" w:eastAsia="zh-CN"/>
          <w14:textFill>
            <w14:solidFill>
              <w14:schemeClr w14:val="tx1"/>
            </w14:solidFill>
          </w14:textFill>
        </w:rPr>
      </w:pPr>
    </w:p>
    <w:p w14:paraId="3D661E72">
      <w:pPr>
        <w:shd w:val="clear"/>
        <w:spacing w:before="312" w:beforeLines="100" w:after="156" w:afterLines="50"/>
        <w:rPr>
          <w:rFonts w:hint="eastAsia" w:ascii="宋体" w:hAnsi="宋体" w:cs="宋体"/>
          <w:b/>
          <w:bCs/>
          <w:color w:val="000000" w:themeColor="text1"/>
          <w:highlight w:val="none"/>
          <w:lang w:val="en-US" w:eastAsia="zh-CN"/>
          <w14:textFill>
            <w14:solidFill>
              <w14:schemeClr w14:val="tx1"/>
            </w14:solidFill>
          </w14:textFill>
        </w:rPr>
      </w:pPr>
      <w:r>
        <w:rPr>
          <w:rFonts w:hint="eastAsia" w:ascii="宋体" w:hAnsi="宋体" w:cs="宋体"/>
          <w:b/>
          <w:bCs/>
          <w:color w:val="000000" w:themeColor="text1"/>
          <w:highlight w:val="none"/>
          <w:lang w:val="en-US" w:eastAsia="zh-CN"/>
          <w14:textFill>
            <w14:solidFill>
              <w14:schemeClr w14:val="tx1"/>
            </w14:solidFill>
          </w14:textFill>
        </w:rPr>
        <w:t>承诺内容参考：</w:t>
      </w:r>
    </w:p>
    <w:p w14:paraId="1ACD6717">
      <w:pPr>
        <w:pStyle w:val="12"/>
        <w:shd w:val="clear"/>
        <w:rPr>
          <w:rFonts w:hint="eastAsia" w:ascii="宋体" w:hAnsi="宋体" w:cs="宋体"/>
          <w:color w:val="000000" w:themeColor="text1"/>
          <w:highlight w:val="none"/>
          <w:lang w:val="en-US" w:eastAsia="zh-CN"/>
          <w14:textFill>
            <w14:solidFill>
              <w14:schemeClr w14:val="tx1"/>
            </w14:solidFill>
          </w14:textFill>
        </w:rPr>
      </w:pPr>
    </w:p>
    <w:p w14:paraId="55CD0ED3">
      <w:pPr>
        <w:shd w:val="clear"/>
        <w:jc w:val="center"/>
        <w:rPr>
          <w:rFonts w:hint="eastAsia" w:ascii="宋体" w:hAnsi="宋体" w:cs="宋体"/>
          <w:color w:val="000000" w:themeColor="text1"/>
          <w:sz w:val="32"/>
          <w:szCs w:val="32"/>
          <w:highlight w:val="none"/>
          <w:lang w:val="en-US" w:eastAsia="zh-CN"/>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承诺函</w:t>
      </w:r>
    </w:p>
    <w:p w14:paraId="50B4434D">
      <w:pPr>
        <w:pStyle w:val="12"/>
        <w:shd w:val="clear"/>
        <w:spacing w:line="360" w:lineRule="auto"/>
        <w:rPr>
          <w:rFonts w:hint="eastAsia" w:ascii="宋体" w:hAnsi="宋体" w:cs="宋体"/>
          <w:color w:val="000000" w:themeColor="text1"/>
          <w:sz w:val="24"/>
          <w:szCs w:val="24"/>
          <w:highlight w:val="none"/>
          <w:lang w:val="en-US" w:eastAsia="zh-CN"/>
          <w14:textFill>
            <w14:solidFill>
              <w14:schemeClr w14:val="tx1"/>
            </w14:solidFill>
          </w14:textFill>
        </w:rPr>
      </w:pPr>
    </w:p>
    <w:p w14:paraId="5A00AF15">
      <w:pPr>
        <w:pStyle w:val="12"/>
        <w:shd w:val="clear"/>
        <w:spacing w:line="360" w:lineRule="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致：</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p>
    <w:p w14:paraId="0EFD918B">
      <w:pPr>
        <w:shd w:val="clear"/>
        <w:spacing w:line="360" w:lineRule="auto"/>
        <w:ind w:firstLine="480" w:firstLineChars="200"/>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我司承诺，完全响应采购文件中技术条款要求，无负偏离。如若违反，承担由此造成的一切法律责任及后果。</w:t>
      </w:r>
    </w:p>
    <w:p w14:paraId="5FC9A390">
      <w:pPr>
        <w:pStyle w:val="12"/>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特此承诺。</w:t>
      </w:r>
    </w:p>
    <w:p w14:paraId="7FD88D2A">
      <w:pPr>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15FC61C9">
      <w:pPr>
        <w:pStyle w:val="12"/>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767CD41C">
      <w:pPr>
        <w:shd w:val="clear"/>
        <w:spacing w:line="360" w:lineRule="auto"/>
        <w:ind w:firstLine="480" w:firstLineChars="200"/>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34234438">
      <w:pPr>
        <w:shd w:val="clear"/>
        <w:spacing w:line="360" w:lineRule="auto"/>
        <w:ind w:firstLine="480" w:firstLineChars="200"/>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供应商（盖章）：</w:t>
      </w:r>
    </w:p>
    <w:p w14:paraId="5AD26373">
      <w:pPr>
        <w:pStyle w:val="12"/>
        <w:shd w:val="clear"/>
        <w:spacing w:line="360" w:lineRule="auto"/>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70504451">
      <w:pPr>
        <w:shd w:val="clear"/>
        <w:rPr>
          <w:rFonts w:hint="eastAsia" w:ascii="黑体" w:hAnsi="黑体" w:eastAsia="黑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 xml:space="preserve">                                                             日期：</w:t>
      </w:r>
      <w:r>
        <w:rPr>
          <w:rFonts w:hint="eastAsia" w:ascii="黑体" w:hAnsi="黑体" w:eastAsia="黑体" w:cs="宋体"/>
          <w:color w:val="000000" w:themeColor="text1"/>
          <w:sz w:val="24"/>
          <w:highlight w:val="none"/>
          <w14:textFill>
            <w14:solidFill>
              <w14:schemeClr w14:val="tx1"/>
            </w14:solidFill>
          </w14:textFill>
        </w:rPr>
        <w:br w:type="page"/>
      </w:r>
    </w:p>
    <w:p w14:paraId="73A03A81">
      <w:pPr>
        <w:numPr>
          <w:ilvl w:val="0"/>
          <w:numId w:val="5"/>
        </w:numPr>
        <w:shd w:val="clear"/>
        <w:adjustRightInd w:val="0"/>
        <w:spacing w:line="440" w:lineRule="exact"/>
        <w:ind w:firstLine="480" w:firstLineChars="200"/>
        <w:rPr>
          <w:rFonts w:hint="eastAsia" w:ascii="黑体" w:hAnsi="黑体" w:eastAsia="黑体" w:cs="宋体"/>
          <w:color w:val="000000" w:themeColor="text1"/>
          <w:highlight w:val="none"/>
          <w:lang w:val="en-US" w:eastAsia="zh-CN"/>
          <w14:textFill>
            <w14:solidFill>
              <w14:schemeClr w14:val="tx1"/>
            </w14:solidFill>
          </w14:textFill>
        </w:rPr>
      </w:pPr>
      <w:r>
        <w:rPr>
          <w:rFonts w:hint="eastAsia" w:ascii="黑体" w:hAnsi="黑体" w:eastAsia="黑体" w:cs="宋体"/>
          <w:color w:val="000000" w:themeColor="text1"/>
          <w:highlight w:val="none"/>
          <w:lang w:val="en-US" w:eastAsia="zh-CN"/>
          <w14:textFill>
            <w14:solidFill>
              <w14:schemeClr w14:val="tx1"/>
            </w14:solidFill>
          </w14:textFill>
        </w:rPr>
        <w:t>商务文件</w:t>
      </w:r>
    </w:p>
    <w:p w14:paraId="1E4D7B3F">
      <w:pPr>
        <w:shd w:val="clear"/>
        <w:spacing w:line="580" w:lineRule="exact"/>
        <w:ind w:left="-10" w:firstLine="11"/>
        <w:jc w:val="center"/>
        <w:rPr>
          <w:rFonts w:hint="eastAsia" w:ascii="宋体" w:hAnsi="宋体" w:cs="宋体"/>
          <w:color w:val="000000" w:themeColor="text1"/>
          <w:sz w:val="36"/>
          <w:szCs w:val="36"/>
          <w:highlight w:val="none"/>
          <w14:textFill>
            <w14:solidFill>
              <w14:schemeClr w14:val="tx1"/>
            </w14:solidFill>
          </w14:textFill>
        </w:rPr>
      </w:pPr>
    </w:p>
    <w:p w14:paraId="3CE08D96">
      <w:pPr>
        <w:shd w:val="clear"/>
        <w:spacing w:line="580" w:lineRule="exact"/>
        <w:ind w:left="-10" w:firstLine="11"/>
        <w:jc w:val="center"/>
        <w:rPr>
          <w:rFonts w:ascii="宋体" w:hAnsi="宋体" w:cs="宋体"/>
          <w:color w:val="000000" w:themeColor="text1"/>
          <w:sz w:val="36"/>
          <w:szCs w:val="36"/>
          <w:highlight w:val="none"/>
          <w14:textFill>
            <w14:solidFill>
              <w14:schemeClr w14:val="tx1"/>
            </w14:solidFill>
          </w14:textFill>
        </w:rPr>
      </w:pPr>
      <w:r>
        <w:rPr>
          <w:rFonts w:hint="eastAsia" w:ascii="宋体" w:hAnsi="宋体" w:cs="宋体"/>
          <w:color w:val="000000" w:themeColor="text1"/>
          <w:sz w:val="36"/>
          <w:szCs w:val="36"/>
          <w:highlight w:val="none"/>
          <w14:textFill>
            <w14:solidFill>
              <w14:schemeClr w14:val="tx1"/>
            </w14:solidFill>
          </w14:textFill>
        </w:rPr>
        <w:t>商务偏离表（格式一）</w:t>
      </w:r>
    </w:p>
    <w:p w14:paraId="57E1095F">
      <w:pPr>
        <w:pStyle w:val="19"/>
        <w:shd w:val="clear"/>
        <w:spacing w:before="312" w:beforeLines="100" w:after="156" w:afterLines="50"/>
        <w:ind w:firstLine="480"/>
        <w:rPr>
          <w:rFonts w:hAnsi="宋体" w:cs="宋体"/>
          <w:color w:val="000000" w:themeColor="text1"/>
          <w:sz w:val="24"/>
          <w:szCs w:val="24"/>
          <w:highlight w:val="none"/>
          <w14:textFill>
            <w14:solidFill>
              <w14:schemeClr w14:val="tx1"/>
            </w14:solidFill>
          </w14:textFill>
        </w:rPr>
      </w:pPr>
      <w:r>
        <w:rPr>
          <w:rFonts w:hint="eastAsia" w:hAnsi="宋体" w:cs="宋体"/>
          <w:color w:val="000000" w:themeColor="text1"/>
          <w:sz w:val="24"/>
          <w:szCs w:val="24"/>
          <w:highlight w:val="none"/>
          <w14:textFill>
            <w14:solidFill>
              <w14:schemeClr w14:val="tx1"/>
            </w14:solidFill>
          </w14:textFill>
        </w:rPr>
        <w:t>项目名称：                                  项目编号：</w:t>
      </w:r>
    </w:p>
    <w:tbl>
      <w:tblPr>
        <w:tblStyle w:val="34"/>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14:paraId="71131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5A06007D">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序号</w:t>
            </w:r>
          </w:p>
        </w:tc>
        <w:tc>
          <w:tcPr>
            <w:tcW w:w="2263" w:type="dxa"/>
            <w:vAlign w:val="center"/>
          </w:tcPr>
          <w:p w14:paraId="115ADD8C">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商务条款</w:t>
            </w:r>
          </w:p>
        </w:tc>
        <w:tc>
          <w:tcPr>
            <w:tcW w:w="2001" w:type="dxa"/>
            <w:vAlign w:val="center"/>
          </w:tcPr>
          <w:p w14:paraId="140FC959">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比选</w:t>
            </w:r>
            <w:r>
              <w:rPr>
                <w:rFonts w:hint="eastAsia" w:ascii="宋体" w:hAnsi="宋体" w:cs="宋体"/>
                <w:color w:val="000000" w:themeColor="text1"/>
                <w:highlight w:val="none"/>
                <w14:textFill>
                  <w14:solidFill>
                    <w14:schemeClr w14:val="tx1"/>
                  </w14:solidFill>
                </w14:textFill>
              </w:rPr>
              <w:t>文件要求</w:t>
            </w:r>
          </w:p>
        </w:tc>
        <w:tc>
          <w:tcPr>
            <w:tcW w:w="2652" w:type="dxa"/>
            <w:vAlign w:val="center"/>
          </w:tcPr>
          <w:p w14:paraId="3D0585FD">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响应文件响应情况</w:t>
            </w:r>
          </w:p>
        </w:tc>
        <w:tc>
          <w:tcPr>
            <w:tcW w:w="1399" w:type="dxa"/>
            <w:vAlign w:val="center"/>
          </w:tcPr>
          <w:p w14:paraId="1CACFCD6">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偏离情况</w:t>
            </w:r>
          </w:p>
        </w:tc>
      </w:tr>
      <w:tr w14:paraId="23AAC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6027865E">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w:t>
            </w:r>
          </w:p>
        </w:tc>
        <w:tc>
          <w:tcPr>
            <w:tcW w:w="2263" w:type="dxa"/>
            <w:vAlign w:val="center"/>
          </w:tcPr>
          <w:p w14:paraId="23000DF6">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1F26B28B">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6C3C6882">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42CC18A9">
            <w:pPr>
              <w:shd w:val="clear"/>
              <w:rPr>
                <w:rFonts w:ascii="宋体" w:hAnsi="宋体" w:cs="宋体"/>
                <w:color w:val="000000" w:themeColor="text1"/>
                <w:highlight w:val="none"/>
                <w14:textFill>
                  <w14:solidFill>
                    <w14:schemeClr w14:val="tx1"/>
                  </w14:solidFill>
                </w14:textFill>
              </w:rPr>
            </w:pPr>
          </w:p>
        </w:tc>
      </w:tr>
      <w:tr w14:paraId="4249C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29C657AC">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w:t>
            </w:r>
          </w:p>
        </w:tc>
        <w:tc>
          <w:tcPr>
            <w:tcW w:w="2263" w:type="dxa"/>
            <w:vAlign w:val="center"/>
          </w:tcPr>
          <w:p w14:paraId="69B22AEE">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6D5C5331">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41890DF4">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39810C54">
            <w:pPr>
              <w:shd w:val="clear"/>
              <w:rPr>
                <w:rFonts w:ascii="宋体" w:hAnsi="宋体" w:cs="宋体"/>
                <w:color w:val="000000" w:themeColor="text1"/>
                <w:highlight w:val="none"/>
                <w14:textFill>
                  <w14:solidFill>
                    <w14:schemeClr w14:val="tx1"/>
                  </w14:solidFill>
                </w14:textFill>
              </w:rPr>
            </w:pPr>
          </w:p>
        </w:tc>
      </w:tr>
      <w:tr w14:paraId="690E1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5B087E44">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w:t>
            </w:r>
          </w:p>
        </w:tc>
        <w:tc>
          <w:tcPr>
            <w:tcW w:w="2263" w:type="dxa"/>
            <w:vAlign w:val="center"/>
          </w:tcPr>
          <w:p w14:paraId="25411836">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6D0BF265">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7B69C075">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2DFA8FD7">
            <w:pPr>
              <w:shd w:val="clear"/>
              <w:rPr>
                <w:rFonts w:ascii="宋体" w:hAnsi="宋体" w:cs="宋体"/>
                <w:color w:val="000000" w:themeColor="text1"/>
                <w:highlight w:val="none"/>
                <w14:textFill>
                  <w14:solidFill>
                    <w14:schemeClr w14:val="tx1"/>
                  </w14:solidFill>
                </w14:textFill>
              </w:rPr>
            </w:pPr>
          </w:p>
        </w:tc>
      </w:tr>
      <w:tr w14:paraId="3EB7E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05AB65EF">
            <w:pPr>
              <w:shd w:val="clea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4</w:t>
            </w:r>
          </w:p>
        </w:tc>
        <w:tc>
          <w:tcPr>
            <w:tcW w:w="2263" w:type="dxa"/>
            <w:vAlign w:val="center"/>
          </w:tcPr>
          <w:p w14:paraId="7EBF2874">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4A4D7DBA">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68348CA6">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6CE9BB58">
            <w:pPr>
              <w:shd w:val="clear"/>
              <w:rPr>
                <w:rFonts w:ascii="宋体" w:hAnsi="宋体" w:cs="宋体"/>
                <w:color w:val="000000" w:themeColor="text1"/>
                <w:highlight w:val="none"/>
                <w14:textFill>
                  <w14:solidFill>
                    <w14:schemeClr w14:val="tx1"/>
                  </w14:solidFill>
                </w14:textFill>
              </w:rPr>
            </w:pPr>
          </w:p>
        </w:tc>
      </w:tr>
      <w:tr w14:paraId="6AC7C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14:paraId="0BB7B9B7">
            <w:pPr>
              <w:shd w:val="clea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w:t>
            </w:r>
          </w:p>
        </w:tc>
        <w:tc>
          <w:tcPr>
            <w:tcW w:w="2263" w:type="dxa"/>
            <w:vAlign w:val="center"/>
          </w:tcPr>
          <w:p w14:paraId="30D39E4C">
            <w:pPr>
              <w:shd w:val="clear"/>
              <w:rPr>
                <w:rFonts w:ascii="宋体" w:hAnsi="宋体" w:cs="宋体"/>
                <w:color w:val="000000" w:themeColor="text1"/>
                <w:highlight w:val="none"/>
                <w14:textFill>
                  <w14:solidFill>
                    <w14:schemeClr w14:val="tx1"/>
                  </w14:solidFill>
                </w14:textFill>
              </w:rPr>
            </w:pPr>
          </w:p>
        </w:tc>
        <w:tc>
          <w:tcPr>
            <w:tcW w:w="2001" w:type="dxa"/>
            <w:vAlign w:val="center"/>
          </w:tcPr>
          <w:p w14:paraId="2F553BFE">
            <w:pPr>
              <w:shd w:val="clear"/>
              <w:rPr>
                <w:rFonts w:ascii="宋体" w:hAnsi="宋体" w:cs="宋体"/>
                <w:color w:val="000000" w:themeColor="text1"/>
                <w:highlight w:val="none"/>
                <w14:textFill>
                  <w14:solidFill>
                    <w14:schemeClr w14:val="tx1"/>
                  </w14:solidFill>
                </w14:textFill>
              </w:rPr>
            </w:pPr>
          </w:p>
        </w:tc>
        <w:tc>
          <w:tcPr>
            <w:tcW w:w="2652" w:type="dxa"/>
            <w:vAlign w:val="center"/>
          </w:tcPr>
          <w:p w14:paraId="5F067489">
            <w:pPr>
              <w:shd w:val="clear"/>
              <w:rPr>
                <w:rFonts w:ascii="宋体" w:hAnsi="宋体" w:cs="宋体"/>
                <w:color w:val="000000" w:themeColor="text1"/>
                <w:highlight w:val="none"/>
                <w14:textFill>
                  <w14:solidFill>
                    <w14:schemeClr w14:val="tx1"/>
                  </w14:solidFill>
                </w14:textFill>
              </w:rPr>
            </w:pPr>
          </w:p>
        </w:tc>
        <w:tc>
          <w:tcPr>
            <w:tcW w:w="1399" w:type="dxa"/>
            <w:vAlign w:val="center"/>
          </w:tcPr>
          <w:p w14:paraId="5188DA71">
            <w:pPr>
              <w:shd w:val="clear"/>
              <w:rPr>
                <w:rFonts w:ascii="宋体" w:hAnsi="宋体" w:cs="宋体"/>
                <w:color w:val="000000" w:themeColor="text1"/>
                <w:highlight w:val="none"/>
                <w14:textFill>
                  <w14:solidFill>
                    <w14:schemeClr w14:val="tx1"/>
                  </w14:solidFill>
                </w14:textFill>
              </w:rPr>
            </w:pPr>
          </w:p>
        </w:tc>
      </w:tr>
    </w:tbl>
    <w:p w14:paraId="59C45D4E">
      <w:pPr>
        <w:shd w:val="clear"/>
        <w:ind w:firstLine="491" w:firstLineChars="205"/>
        <w:rPr>
          <w:rFonts w:ascii="宋体" w:hAnsi="宋体" w:cs="宋体"/>
          <w:color w:val="000000" w:themeColor="text1"/>
          <w:highlight w:val="none"/>
          <w14:textFill>
            <w14:solidFill>
              <w14:schemeClr w14:val="tx1"/>
            </w14:solidFill>
          </w14:textFill>
        </w:rPr>
      </w:pPr>
    </w:p>
    <w:p w14:paraId="75926F3A">
      <w:pPr>
        <w:shd w:val="clear"/>
        <w:ind w:firstLine="491" w:firstLineChars="205"/>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注：无论供应商递交的响应文件与</w:t>
      </w:r>
      <w:r>
        <w:rPr>
          <w:rFonts w:hint="eastAsia" w:ascii="宋体" w:hAnsi="宋体" w:cs="宋体"/>
          <w:color w:val="000000" w:themeColor="text1"/>
          <w:highlight w:val="none"/>
          <w:lang w:eastAsia="zh-CN"/>
          <w14:textFill>
            <w14:solidFill>
              <w14:schemeClr w14:val="tx1"/>
            </w14:solidFill>
          </w14:textFill>
        </w:rPr>
        <w:t>比选</w:t>
      </w:r>
      <w:r>
        <w:rPr>
          <w:rFonts w:hint="eastAsia" w:ascii="宋体" w:hAnsi="宋体" w:cs="宋体"/>
          <w:color w:val="000000" w:themeColor="text1"/>
          <w:highlight w:val="none"/>
          <w14:textFill>
            <w14:solidFill>
              <w14:schemeClr w14:val="tx1"/>
            </w14:solidFill>
          </w14:textFill>
        </w:rPr>
        <w:t>文件商务条款的要求是否有偏离，均应逐条列在商务偏离表中。</w:t>
      </w:r>
    </w:p>
    <w:p w14:paraId="6B08E52E">
      <w:pPr>
        <w:shd w:val="clear"/>
        <w:ind w:firstLine="491" w:firstLineChars="205"/>
        <w:rPr>
          <w:rFonts w:ascii="宋体" w:hAnsi="宋体" w:cs="宋体"/>
          <w:color w:val="000000" w:themeColor="text1"/>
          <w:highlight w:val="none"/>
          <w14:textFill>
            <w14:solidFill>
              <w14:schemeClr w14:val="tx1"/>
            </w14:solidFill>
          </w14:textFill>
        </w:rPr>
      </w:pPr>
    </w:p>
    <w:p w14:paraId="1BFA3F32">
      <w:pPr>
        <w:shd w:val="clear"/>
        <w:ind w:firstLine="491" w:firstLineChars="205"/>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ab/>
      </w:r>
    </w:p>
    <w:p w14:paraId="62737AC5">
      <w:pPr>
        <w:shd w:val="clear"/>
        <w:ind w:firstLine="491" w:firstLineChars="205"/>
        <w:rPr>
          <w:rFonts w:ascii="宋体" w:hAnsi="宋体" w:cs="宋体"/>
          <w:color w:val="000000" w:themeColor="text1"/>
          <w:highlight w:val="none"/>
          <w14:textFill>
            <w14:solidFill>
              <w14:schemeClr w14:val="tx1"/>
            </w14:solidFill>
          </w14:textFill>
        </w:rPr>
      </w:pPr>
    </w:p>
    <w:p w14:paraId="5C8CCBEF">
      <w:pPr>
        <w:shd w:val="clear"/>
        <w:ind w:firstLine="491" w:firstLineChars="205"/>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ab/>
      </w:r>
      <w:r>
        <w:rPr>
          <w:rFonts w:hint="eastAsia" w:ascii="宋体" w:hAnsi="宋体" w:cs="宋体"/>
          <w:color w:val="000000" w:themeColor="text1"/>
          <w:highlight w:val="none"/>
          <w14:textFill>
            <w14:solidFill>
              <w14:schemeClr w14:val="tx1"/>
            </w14:solidFill>
          </w14:textFill>
        </w:rPr>
        <w:t>供应商名称（盖章）：XXX有限公司</w:t>
      </w:r>
    </w:p>
    <w:p w14:paraId="49B27817">
      <w:pPr>
        <w:shd w:val="clear"/>
        <w:wordWrap w:val="0"/>
        <w:adjustRightInd w:val="0"/>
        <w:ind w:firstLine="480" w:firstLineChars="200"/>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法定代表人或授权代表（签字）：</w:t>
      </w:r>
    </w:p>
    <w:p w14:paraId="0842E58D">
      <w:pPr>
        <w:shd w:val="clear"/>
        <w:adjustRightInd w:val="0"/>
        <w:ind w:firstLine="480" w:firstLineChars="200"/>
        <w:jc w:val="righ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日期：年月日</w:t>
      </w:r>
    </w:p>
    <w:p w14:paraId="7794D920">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5B8CAF90">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54197D9A">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p>
    <w:p w14:paraId="1285B50D">
      <w:pPr>
        <w:pStyle w:val="19"/>
        <w:shd w:val="clear"/>
        <w:spacing w:line="440" w:lineRule="exact"/>
        <w:ind w:firstLine="437"/>
        <w:jc w:val="center"/>
        <w:rPr>
          <w:rFonts w:hAnsi="宋体" w:cs="宋体"/>
          <w:color w:val="000000" w:themeColor="text1"/>
          <w:sz w:val="36"/>
          <w:szCs w:val="36"/>
          <w:highlight w:val="none"/>
          <w14:textFill>
            <w14:solidFill>
              <w14:schemeClr w14:val="tx1"/>
            </w14:solidFill>
          </w14:textFill>
        </w:rPr>
      </w:pPr>
      <w:r>
        <w:rPr>
          <w:rFonts w:hint="eastAsia" w:hAnsi="宋体" w:cs="宋体"/>
          <w:color w:val="000000" w:themeColor="text1"/>
          <w:sz w:val="36"/>
          <w:szCs w:val="36"/>
          <w:highlight w:val="none"/>
          <w14:textFill>
            <w14:solidFill>
              <w14:schemeClr w14:val="tx1"/>
            </w14:solidFill>
          </w14:textFill>
        </w:rPr>
        <w:t>商务符合性承诺（格式二）</w:t>
      </w:r>
    </w:p>
    <w:p w14:paraId="145ADE22">
      <w:pPr>
        <w:pStyle w:val="19"/>
        <w:shd w:val="clear"/>
        <w:spacing w:line="440" w:lineRule="exact"/>
        <w:ind w:firstLine="437"/>
        <w:rPr>
          <w:rFonts w:hAnsi="宋体" w:cs="宋体"/>
          <w:color w:val="000000" w:themeColor="text1"/>
          <w:sz w:val="24"/>
          <w:szCs w:val="24"/>
          <w:highlight w:val="none"/>
          <w14:textFill>
            <w14:solidFill>
              <w14:schemeClr w14:val="tx1"/>
            </w14:solidFill>
          </w14:textFill>
        </w:rPr>
      </w:pPr>
    </w:p>
    <w:p w14:paraId="00E6B248">
      <w:pPr>
        <w:shd w:val="clear"/>
        <w:ind w:firstLine="720" w:firstLineChars="200"/>
        <w:jc w:val="center"/>
        <w:rPr>
          <w:rFonts w:hAnsi="宋体" w:cs="宋体"/>
          <w:color w:val="000000" w:themeColor="text1"/>
          <w:sz w:val="36"/>
          <w:szCs w:val="36"/>
          <w:highlight w:val="none"/>
          <w14:textFill>
            <w14:solidFill>
              <w14:schemeClr w14:val="tx1"/>
            </w14:solidFill>
          </w14:textFill>
        </w:rPr>
      </w:pPr>
      <w:r>
        <w:rPr>
          <w:rFonts w:hint="eastAsia" w:hAnsi="宋体" w:cs="宋体"/>
          <w:color w:val="000000" w:themeColor="text1"/>
          <w:sz w:val="36"/>
          <w:szCs w:val="36"/>
          <w:highlight w:val="none"/>
          <w14:textFill>
            <w14:solidFill>
              <w14:schemeClr w14:val="tx1"/>
            </w14:solidFill>
          </w14:textFill>
        </w:rPr>
        <w:t>（即为承诺无负偏离，格式自拟）</w:t>
      </w:r>
    </w:p>
    <w:p w14:paraId="7CF8633E">
      <w:pPr>
        <w:shd w:val="clea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br w:type="page"/>
      </w:r>
    </w:p>
    <w:p w14:paraId="3EF393BF">
      <w:pPr>
        <w:shd w:val="clear"/>
        <w:spacing w:before="312" w:beforeLines="100" w:after="156" w:afterLines="50"/>
        <w:rPr>
          <w:rFonts w:hint="eastAsia" w:ascii="宋体" w:hAnsi="宋体" w:cs="宋体"/>
          <w:b/>
          <w:bCs/>
          <w:color w:val="000000" w:themeColor="text1"/>
          <w:highlight w:val="none"/>
          <w:lang w:val="en-US" w:eastAsia="zh-CN"/>
          <w14:textFill>
            <w14:solidFill>
              <w14:schemeClr w14:val="tx1"/>
            </w14:solidFill>
          </w14:textFill>
        </w:rPr>
      </w:pPr>
    </w:p>
    <w:p w14:paraId="106BA762">
      <w:pPr>
        <w:shd w:val="clear"/>
        <w:spacing w:before="312" w:beforeLines="100" w:after="156" w:afterLines="50"/>
        <w:rPr>
          <w:rFonts w:hint="eastAsia" w:ascii="宋体" w:hAnsi="宋体" w:cs="宋体"/>
          <w:b/>
          <w:bCs/>
          <w:color w:val="000000" w:themeColor="text1"/>
          <w:highlight w:val="none"/>
          <w:lang w:val="en-US" w:eastAsia="zh-CN"/>
          <w14:textFill>
            <w14:solidFill>
              <w14:schemeClr w14:val="tx1"/>
            </w14:solidFill>
          </w14:textFill>
        </w:rPr>
      </w:pPr>
      <w:r>
        <w:rPr>
          <w:rFonts w:hint="eastAsia" w:ascii="宋体" w:hAnsi="宋体" w:cs="宋体"/>
          <w:b/>
          <w:bCs/>
          <w:color w:val="000000" w:themeColor="text1"/>
          <w:highlight w:val="none"/>
          <w:lang w:val="en-US" w:eastAsia="zh-CN"/>
          <w14:textFill>
            <w14:solidFill>
              <w14:schemeClr w14:val="tx1"/>
            </w14:solidFill>
          </w14:textFill>
        </w:rPr>
        <w:t>承诺内容参考：</w:t>
      </w:r>
    </w:p>
    <w:p w14:paraId="200E76A4">
      <w:pPr>
        <w:pStyle w:val="12"/>
        <w:shd w:val="clear"/>
        <w:rPr>
          <w:rFonts w:hint="eastAsia" w:ascii="宋体" w:hAnsi="宋体" w:cs="宋体"/>
          <w:color w:val="000000" w:themeColor="text1"/>
          <w:highlight w:val="none"/>
          <w:lang w:val="en-US" w:eastAsia="zh-CN"/>
          <w14:textFill>
            <w14:solidFill>
              <w14:schemeClr w14:val="tx1"/>
            </w14:solidFill>
          </w14:textFill>
        </w:rPr>
      </w:pPr>
    </w:p>
    <w:p w14:paraId="78CF9FE3">
      <w:pPr>
        <w:shd w:val="clear"/>
        <w:jc w:val="center"/>
        <w:rPr>
          <w:rFonts w:hint="eastAsia" w:ascii="宋体" w:hAnsi="宋体" w:cs="宋体"/>
          <w:color w:val="000000" w:themeColor="text1"/>
          <w:sz w:val="32"/>
          <w:szCs w:val="32"/>
          <w:highlight w:val="none"/>
          <w:lang w:val="en-US" w:eastAsia="zh-CN"/>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承诺函</w:t>
      </w:r>
    </w:p>
    <w:p w14:paraId="4A6742CC">
      <w:pPr>
        <w:pStyle w:val="12"/>
        <w:shd w:val="clear"/>
        <w:spacing w:line="360" w:lineRule="auto"/>
        <w:rPr>
          <w:rFonts w:hint="eastAsia" w:ascii="宋体" w:hAnsi="宋体" w:cs="宋体"/>
          <w:color w:val="000000" w:themeColor="text1"/>
          <w:sz w:val="24"/>
          <w:szCs w:val="24"/>
          <w:highlight w:val="none"/>
          <w:lang w:val="en-US" w:eastAsia="zh-CN"/>
          <w14:textFill>
            <w14:solidFill>
              <w14:schemeClr w14:val="tx1"/>
            </w14:solidFill>
          </w14:textFill>
        </w:rPr>
      </w:pPr>
    </w:p>
    <w:p w14:paraId="3107DE62">
      <w:pPr>
        <w:pStyle w:val="12"/>
        <w:shd w:val="clear"/>
        <w:spacing w:line="360" w:lineRule="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致：</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p>
    <w:p w14:paraId="49363F72">
      <w:pPr>
        <w:shd w:val="clear"/>
        <w:spacing w:line="360" w:lineRule="auto"/>
        <w:ind w:firstLine="480" w:firstLineChars="200"/>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我司承诺，完全响应采购文件中商务条款要求，无负偏离。如若违反，承担由此造成的一切法律责任及后果。</w:t>
      </w:r>
    </w:p>
    <w:p w14:paraId="6B77EB35">
      <w:pPr>
        <w:pStyle w:val="12"/>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特此承诺。</w:t>
      </w:r>
    </w:p>
    <w:p w14:paraId="6E4BCA94">
      <w:pPr>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07C19D9E">
      <w:pPr>
        <w:pStyle w:val="12"/>
        <w:shd w:val="clear"/>
        <w:spacing w:line="360" w:lineRule="auto"/>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259EF1DC">
      <w:pPr>
        <w:shd w:val="clear"/>
        <w:spacing w:line="360" w:lineRule="auto"/>
        <w:ind w:firstLine="480" w:firstLineChars="200"/>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3438D15B">
      <w:pPr>
        <w:shd w:val="clear"/>
        <w:spacing w:line="360" w:lineRule="auto"/>
        <w:ind w:firstLine="480" w:firstLineChars="200"/>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投标人（盖章）：</w:t>
      </w:r>
    </w:p>
    <w:p w14:paraId="761D5FAD">
      <w:pPr>
        <w:pStyle w:val="12"/>
        <w:shd w:val="clear"/>
        <w:spacing w:line="360" w:lineRule="auto"/>
        <w:jc w:val="right"/>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185D4516">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 xml:space="preserve">                                                             日期：</w:t>
      </w:r>
    </w:p>
    <w:p w14:paraId="3E5360D5">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242999F4">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50EF4643">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0E3EF8FD">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1CE9D190">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75D2D774">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p>
    <w:p w14:paraId="6892DF74">
      <w:pPr>
        <w:shd w:val="clear"/>
        <w:rPr>
          <w:rFonts w:hint="eastAsia" w:ascii="宋体" w:hAnsi="宋体" w:cs="宋体"/>
          <w:color w:val="000000" w:themeColor="text1"/>
          <w:sz w:val="24"/>
          <w:szCs w:val="24"/>
          <w:highlight w:val="none"/>
          <w:u w:val="none"/>
          <w:lang w:val="en-US" w:eastAsia="zh-CN"/>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br w:type="page"/>
      </w:r>
    </w:p>
    <w:p w14:paraId="7A20E275">
      <w:pPr>
        <w:pStyle w:val="12"/>
        <w:widowControl w:val="0"/>
        <w:shd w:val="clear"/>
        <w:spacing w:line="360" w:lineRule="auto"/>
        <w:ind w:firstLine="0" w:firstLineChars="0"/>
        <w:rPr>
          <w:rFonts w:ascii="宋体" w:hAnsi="宋体" w:cs="宋体"/>
          <w:b/>
          <w:color w:val="auto"/>
          <w:sz w:val="44"/>
          <w:szCs w:val="44"/>
          <w:highlight w:val="none"/>
        </w:rPr>
      </w:pPr>
    </w:p>
    <w:p w14:paraId="74C87F07">
      <w:pPr>
        <w:widowControl w:val="0"/>
        <w:shd w:val="clear"/>
        <w:adjustRightInd w:val="0"/>
        <w:snapToGrid w:val="0"/>
        <w:spacing w:line="360" w:lineRule="auto"/>
        <w:rPr>
          <w:rFonts w:ascii="宋体" w:hAnsi="宋体" w:cs="宋体"/>
          <w:b/>
          <w:bCs/>
          <w:color w:val="auto"/>
          <w:highlight w:val="none"/>
        </w:rPr>
      </w:pPr>
      <w:r>
        <w:rPr>
          <w:rFonts w:hint="eastAsia" w:ascii="宋体" w:hAnsi="宋体" w:cs="宋体"/>
          <w:b/>
          <w:bCs/>
          <w:color w:val="auto"/>
          <w:highlight w:val="none"/>
        </w:rPr>
        <w:t>注：</w:t>
      </w:r>
    </w:p>
    <w:p w14:paraId="3B419F16">
      <w:pPr>
        <w:widowControl w:val="0"/>
        <w:shd w:val="clear"/>
        <w:spacing w:line="360" w:lineRule="auto"/>
        <w:ind w:firstLine="360" w:firstLineChars="150"/>
        <w:rPr>
          <w:rFonts w:ascii="宋体" w:hAnsi="宋体" w:cs="宋体"/>
          <w:color w:val="auto"/>
          <w:highlight w:val="none"/>
        </w:rPr>
      </w:pPr>
      <w:r>
        <w:rPr>
          <w:rFonts w:hint="eastAsia" w:ascii="宋体" w:hAnsi="宋体" w:cs="宋体"/>
          <w:color w:val="auto"/>
          <w:highlight w:val="none"/>
        </w:rPr>
        <w:t>1.比选文件中要求提交的资料未列出相应格式的，须自拟格式。</w:t>
      </w:r>
    </w:p>
    <w:p w14:paraId="075964DF">
      <w:pPr>
        <w:widowControl w:val="0"/>
        <w:shd w:val="clear"/>
        <w:spacing w:line="360" w:lineRule="auto"/>
        <w:ind w:firstLine="360" w:firstLineChars="150"/>
        <w:rPr>
          <w:rFonts w:ascii="宋体" w:hAnsi="宋体" w:cs="宋体"/>
          <w:color w:val="auto"/>
          <w:highlight w:val="none"/>
        </w:rPr>
      </w:pPr>
      <w:r>
        <w:rPr>
          <w:rFonts w:hint="eastAsia" w:ascii="宋体" w:hAnsi="宋体" w:cs="宋体"/>
          <w:color w:val="auto"/>
          <w:highlight w:val="none"/>
        </w:rPr>
        <w:t>2.按比选文件规定的内容要求，提供相应材料，材料模糊导致关键信息无法识别，导致评审委员会判定响应文件为无效标等后果，由比选参与人自行承担。</w:t>
      </w:r>
    </w:p>
    <w:p w14:paraId="2463A667">
      <w:pPr>
        <w:widowControl w:val="0"/>
        <w:shd w:val="clear"/>
        <w:spacing w:line="360" w:lineRule="auto"/>
        <w:jc w:val="center"/>
        <w:rPr>
          <w:rFonts w:ascii="宋体" w:hAnsi="宋体" w:cs="宋体"/>
          <w:color w:val="auto"/>
          <w:highlight w:val="none"/>
        </w:rPr>
      </w:pPr>
    </w:p>
    <w:sectPr>
      <w:pgSz w:w="11906" w:h="16838"/>
      <w:pgMar w:top="1531" w:right="1418" w:bottom="1361" w:left="141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书宋简体">
    <w:altName w:val="宋体"/>
    <w:panose1 w:val="00000000000000000000"/>
    <w:charset w:val="86"/>
    <w:family w:val="auto"/>
    <w:pitch w:val="default"/>
    <w:sig w:usb0="00000000" w:usb1="00000000" w:usb2="00000010" w:usb3="00000000" w:csb0="00040000" w:csb1="00000000"/>
  </w:font>
  <w:font w:name="微软简仿宋">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长城仿宋">
    <w:altName w:val="仿宋"/>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B0587">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BF500B">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BBF500B">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037B9">
    <w:pPr>
      <w:pStyle w:val="23"/>
      <w:rPr>
        <w:rFonts w:ascii="宋体" w:hAnsi="宋体" w:cs="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B070943">
                          <w:pPr>
                            <w:pStyle w:val="23"/>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tZlUyAgAAY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vW1mVTICAABjBAAADgAAAAAAAAABACAAAAAfAQAAZHJzL2Uyb0RvYy54bWxQSwUG&#10;AAAAAAYABgBZAQAAwwUAAAAA&#10;">
              <v:fill on="f" focussize="0,0"/>
              <v:stroke on="f" weight="0.5pt"/>
              <v:imagedata o:title=""/>
              <o:lock v:ext="edit" aspectratio="f"/>
              <v:textbox inset="0mm,0mm,0mm,0mm" style="mso-fit-shape-to-text:t;">
                <w:txbxContent>
                  <w:p w14:paraId="2B070943">
                    <w:pPr>
                      <w:pStyle w:val="23"/>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EA1B8">
    <w:pPr>
      <w:pStyle w:val="23"/>
      <w:framePr w:wrap="around" w:vAnchor="text" w:hAnchor="margin" w:xAlign="right" w:y="1"/>
      <w:rPr>
        <w:rStyle w:val="38"/>
      </w:rPr>
    </w:pPr>
    <w:r>
      <w:fldChar w:fldCharType="begin"/>
    </w:r>
    <w:r>
      <w:rPr>
        <w:rStyle w:val="38"/>
      </w:rPr>
      <w:instrText xml:space="preserve">PAGE  </w:instrText>
    </w:r>
    <w:r>
      <w:fldChar w:fldCharType="separate"/>
    </w:r>
    <w:r>
      <w:rPr>
        <w:rStyle w:val="38"/>
      </w:rPr>
      <w:t>58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D8D5B">
    <w:pPr>
      <w:pStyle w:val="2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AFF207">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00DCA">
    <w:pPr>
      <w:pStyle w:val="2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899E2A"/>
    <w:multiLevelType w:val="singleLevel"/>
    <w:tmpl w:val="D2899E2A"/>
    <w:lvl w:ilvl="0" w:tentative="0">
      <w:start w:val="4"/>
      <w:numFmt w:val="chineseCounting"/>
      <w:suff w:val="nothing"/>
      <w:lvlText w:val="%1．"/>
      <w:lvlJc w:val="left"/>
      <w:rPr>
        <w:rFonts w:hint="eastAsia"/>
      </w:rPr>
    </w:lvl>
  </w:abstractNum>
  <w:abstractNum w:abstractNumId="1">
    <w:nsid w:val="00000004"/>
    <w:multiLevelType w:val="multilevel"/>
    <w:tmpl w:val="00000004"/>
    <w:lvl w:ilvl="0" w:tentative="0">
      <w:start w:val="2"/>
      <w:numFmt w:val="decimal"/>
      <w:pStyle w:val="100"/>
      <w:lvlText w:val="%1"/>
      <w:lvlJc w:val="left"/>
      <w:pPr>
        <w:tabs>
          <w:tab w:val="left" w:pos="425"/>
        </w:tabs>
        <w:ind w:left="425" w:hanging="425"/>
      </w:pPr>
      <w:rPr>
        <w:rFonts w:hint="eastAsia" w:cs="Times New Roman"/>
      </w:rPr>
    </w:lvl>
    <w:lvl w:ilvl="1" w:tentative="0">
      <w:start w:val="1"/>
      <w:numFmt w:val="decimal"/>
      <w:lvlText w:val="%1.%2"/>
      <w:lvlJc w:val="left"/>
      <w:pPr>
        <w:tabs>
          <w:tab w:val="left" w:pos="993"/>
        </w:tabs>
        <w:ind w:left="993"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2">
    <w:nsid w:val="0000000B"/>
    <w:multiLevelType w:val="multilevel"/>
    <w:tmpl w:val="0000000B"/>
    <w:lvl w:ilvl="0" w:tentative="0">
      <w:start w:val="1"/>
      <w:numFmt w:val="decimal"/>
      <w:pStyle w:val="120"/>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12"/>
    <w:multiLevelType w:val="multilevel"/>
    <w:tmpl w:val="00000012"/>
    <w:lvl w:ilvl="0" w:tentative="0">
      <w:start w:val="1"/>
      <w:numFmt w:val="bullet"/>
      <w:pStyle w:val="96"/>
      <w:lvlText w:val="*"/>
      <w:lvlJc w:val="left"/>
      <w:pPr>
        <w:tabs>
          <w:tab w:val="left" w:pos="420"/>
        </w:tabs>
        <w:ind w:left="420" w:hanging="420"/>
      </w:pPr>
      <w:rPr>
        <w:rFonts w:hint="default" w:ascii="Times New Roman" w:hAnsi="Times New Roman"/>
        <w:b/>
        <w:i w:val="0"/>
        <w:sz w:val="28"/>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2E3A315D"/>
    <w:multiLevelType w:val="multilevel"/>
    <w:tmpl w:val="2E3A315D"/>
    <w:lvl w:ilvl="0" w:tentative="0">
      <w:start w:val="1"/>
      <w:numFmt w:val="japaneseCounting"/>
      <w:pStyle w:val="119"/>
      <w:lvlText w:val="第%1节"/>
      <w:lvlJc w:val="left"/>
      <w:pPr>
        <w:ind w:left="960" w:hanging="9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lODdiOTQ0ZjAwZWUwOTFmMzZlMDM2YjFkYmI2ZTgifQ=="/>
  </w:docVars>
  <w:rsids>
    <w:rsidRoot w:val="00172A27"/>
    <w:rsid w:val="000010CA"/>
    <w:rsid w:val="00004085"/>
    <w:rsid w:val="00006AF2"/>
    <w:rsid w:val="00006E7B"/>
    <w:rsid w:val="0000736F"/>
    <w:rsid w:val="00010AA5"/>
    <w:rsid w:val="00011998"/>
    <w:rsid w:val="00014F5C"/>
    <w:rsid w:val="0001538E"/>
    <w:rsid w:val="00016151"/>
    <w:rsid w:val="00016D1E"/>
    <w:rsid w:val="0001750E"/>
    <w:rsid w:val="0002117E"/>
    <w:rsid w:val="00021987"/>
    <w:rsid w:val="00024F31"/>
    <w:rsid w:val="00026301"/>
    <w:rsid w:val="000266FC"/>
    <w:rsid w:val="0003621A"/>
    <w:rsid w:val="00040FC4"/>
    <w:rsid w:val="0004753D"/>
    <w:rsid w:val="000516E3"/>
    <w:rsid w:val="00051FCC"/>
    <w:rsid w:val="0005370A"/>
    <w:rsid w:val="000538A1"/>
    <w:rsid w:val="000567DA"/>
    <w:rsid w:val="000611EE"/>
    <w:rsid w:val="00062DE5"/>
    <w:rsid w:val="000662F2"/>
    <w:rsid w:val="000672C4"/>
    <w:rsid w:val="00067DD7"/>
    <w:rsid w:val="000705A7"/>
    <w:rsid w:val="0007147B"/>
    <w:rsid w:val="0007224A"/>
    <w:rsid w:val="000749C8"/>
    <w:rsid w:val="0007699F"/>
    <w:rsid w:val="000772E3"/>
    <w:rsid w:val="00080F0F"/>
    <w:rsid w:val="000825E0"/>
    <w:rsid w:val="0008337F"/>
    <w:rsid w:val="00084DD4"/>
    <w:rsid w:val="00085AEB"/>
    <w:rsid w:val="00087959"/>
    <w:rsid w:val="00091A2C"/>
    <w:rsid w:val="00091BDB"/>
    <w:rsid w:val="00092AFD"/>
    <w:rsid w:val="0009489A"/>
    <w:rsid w:val="00095ADC"/>
    <w:rsid w:val="00096A5E"/>
    <w:rsid w:val="000A4D13"/>
    <w:rsid w:val="000A761C"/>
    <w:rsid w:val="000B1874"/>
    <w:rsid w:val="000B47CB"/>
    <w:rsid w:val="000B4995"/>
    <w:rsid w:val="000B773E"/>
    <w:rsid w:val="000C051C"/>
    <w:rsid w:val="000C0BCA"/>
    <w:rsid w:val="000C0C39"/>
    <w:rsid w:val="000C3EBD"/>
    <w:rsid w:val="000C5149"/>
    <w:rsid w:val="000C67BA"/>
    <w:rsid w:val="000C6E11"/>
    <w:rsid w:val="000C6FB4"/>
    <w:rsid w:val="000C70A8"/>
    <w:rsid w:val="000D18BD"/>
    <w:rsid w:val="000D5562"/>
    <w:rsid w:val="000E12D2"/>
    <w:rsid w:val="000E2645"/>
    <w:rsid w:val="000E32C6"/>
    <w:rsid w:val="000E57F1"/>
    <w:rsid w:val="000E5D37"/>
    <w:rsid w:val="000E6491"/>
    <w:rsid w:val="000E67F6"/>
    <w:rsid w:val="000E7756"/>
    <w:rsid w:val="000F2581"/>
    <w:rsid w:val="000F3089"/>
    <w:rsid w:val="000F3B47"/>
    <w:rsid w:val="000F551C"/>
    <w:rsid w:val="000F5A4D"/>
    <w:rsid w:val="000F6199"/>
    <w:rsid w:val="0010114F"/>
    <w:rsid w:val="00102452"/>
    <w:rsid w:val="0010431C"/>
    <w:rsid w:val="00105671"/>
    <w:rsid w:val="0010581E"/>
    <w:rsid w:val="00107955"/>
    <w:rsid w:val="00110F6C"/>
    <w:rsid w:val="0011396A"/>
    <w:rsid w:val="001145E8"/>
    <w:rsid w:val="00115B20"/>
    <w:rsid w:val="001167D7"/>
    <w:rsid w:val="00116A5C"/>
    <w:rsid w:val="00117EC4"/>
    <w:rsid w:val="001203F9"/>
    <w:rsid w:val="001223B3"/>
    <w:rsid w:val="001224DD"/>
    <w:rsid w:val="00127554"/>
    <w:rsid w:val="00127BDD"/>
    <w:rsid w:val="0013092B"/>
    <w:rsid w:val="00131A3E"/>
    <w:rsid w:val="00133255"/>
    <w:rsid w:val="00141087"/>
    <w:rsid w:val="00145557"/>
    <w:rsid w:val="001458C0"/>
    <w:rsid w:val="00145C52"/>
    <w:rsid w:val="0014785A"/>
    <w:rsid w:val="0015259A"/>
    <w:rsid w:val="001536C8"/>
    <w:rsid w:val="00154EA4"/>
    <w:rsid w:val="00156024"/>
    <w:rsid w:val="001561E9"/>
    <w:rsid w:val="00156970"/>
    <w:rsid w:val="001577B2"/>
    <w:rsid w:val="00166BFA"/>
    <w:rsid w:val="001703D5"/>
    <w:rsid w:val="0017343A"/>
    <w:rsid w:val="001755B2"/>
    <w:rsid w:val="0018284A"/>
    <w:rsid w:val="001845EC"/>
    <w:rsid w:val="00185544"/>
    <w:rsid w:val="00186A65"/>
    <w:rsid w:val="00192463"/>
    <w:rsid w:val="00193787"/>
    <w:rsid w:val="001A19DC"/>
    <w:rsid w:val="001A58A1"/>
    <w:rsid w:val="001B0FC3"/>
    <w:rsid w:val="001B1139"/>
    <w:rsid w:val="001B2A3C"/>
    <w:rsid w:val="001B4B06"/>
    <w:rsid w:val="001C4153"/>
    <w:rsid w:val="001C7540"/>
    <w:rsid w:val="001C7601"/>
    <w:rsid w:val="001D2D57"/>
    <w:rsid w:val="001D42A6"/>
    <w:rsid w:val="001D4AE3"/>
    <w:rsid w:val="001D57E5"/>
    <w:rsid w:val="001D795A"/>
    <w:rsid w:val="001D7B9E"/>
    <w:rsid w:val="001D7C4F"/>
    <w:rsid w:val="001E0054"/>
    <w:rsid w:val="001E0725"/>
    <w:rsid w:val="001E0A29"/>
    <w:rsid w:val="001E1082"/>
    <w:rsid w:val="001E1AE7"/>
    <w:rsid w:val="001E1CD1"/>
    <w:rsid w:val="001E3B73"/>
    <w:rsid w:val="001E66E6"/>
    <w:rsid w:val="001E6851"/>
    <w:rsid w:val="001E6D5E"/>
    <w:rsid w:val="001E7C67"/>
    <w:rsid w:val="001F096C"/>
    <w:rsid w:val="0020060A"/>
    <w:rsid w:val="00200B6A"/>
    <w:rsid w:val="00203EC7"/>
    <w:rsid w:val="002104A8"/>
    <w:rsid w:val="00213D54"/>
    <w:rsid w:val="002147CA"/>
    <w:rsid w:val="002172C9"/>
    <w:rsid w:val="00217A95"/>
    <w:rsid w:val="00220D0F"/>
    <w:rsid w:val="0022278E"/>
    <w:rsid w:val="0022452D"/>
    <w:rsid w:val="00226DDE"/>
    <w:rsid w:val="00231E3E"/>
    <w:rsid w:val="00235517"/>
    <w:rsid w:val="00241165"/>
    <w:rsid w:val="00243B7C"/>
    <w:rsid w:val="00245949"/>
    <w:rsid w:val="00245DC8"/>
    <w:rsid w:val="002520C1"/>
    <w:rsid w:val="00253481"/>
    <w:rsid w:val="00254DBE"/>
    <w:rsid w:val="002553AC"/>
    <w:rsid w:val="002553FC"/>
    <w:rsid w:val="00255624"/>
    <w:rsid w:val="00255F43"/>
    <w:rsid w:val="0025600E"/>
    <w:rsid w:val="0025629E"/>
    <w:rsid w:val="0026429B"/>
    <w:rsid w:val="00264EC5"/>
    <w:rsid w:val="0026522A"/>
    <w:rsid w:val="00267860"/>
    <w:rsid w:val="00270CB9"/>
    <w:rsid w:val="00270F64"/>
    <w:rsid w:val="002752C0"/>
    <w:rsid w:val="00277D76"/>
    <w:rsid w:val="00280A3B"/>
    <w:rsid w:val="00280BF5"/>
    <w:rsid w:val="002841FA"/>
    <w:rsid w:val="0028434A"/>
    <w:rsid w:val="00284771"/>
    <w:rsid w:val="002848B3"/>
    <w:rsid w:val="002908A5"/>
    <w:rsid w:val="00292B17"/>
    <w:rsid w:val="002956B8"/>
    <w:rsid w:val="002A019D"/>
    <w:rsid w:val="002A13CA"/>
    <w:rsid w:val="002A4ED2"/>
    <w:rsid w:val="002B0423"/>
    <w:rsid w:val="002B04F6"/>
    <w:rsid w:val="002B1093"/>
    <w:rsid w:val="002B1568"/>
    <w:rsid w:val="002B2B91"/>
    <w:rsid w:val="002B3BA6"/>
    <w:rsid w:val="002C0997"/>
    <w:rsid w:val="002C1F44"/>
    <w:rsid w:val="002C7A4B"/>
    <w:rsid w:val="002D1159"/>
    <w:rsid w:val="002D1B3F"/>
    <w:rsid w:val="002D300A"/>
    <w:rsid w:val="002D6C2D"/>
    <w:rsid w:val="002E2EF6"/>
    <w:rsid w:val="002E547B"/>
    <w:rsid w:val="002F0B56"/>
    <w:rsid w:val="002F19E2"/>
    <w:rsid w:val="002F1BA9"/>
    <w:rsid w:val="002F234A"/>
    <w:rsid w:val="002F27C3"/>
    <w:rsid w:val="002F2A31"/>
    <w:rsid w:val="002F3717"/>
    <w:rsid w:val="002F3A43"/>
    <w:rsid w:val="002F5184"/>
    <w:rsid w:val="002F5225"/>
    <w:rsid w:val="002F53D1"/>
    <w:rsid w:val="002F5C90"/>
    <w:rsid w:val="002F6220"/>
    <w:rsid w:val="0030206F"/>
    <w:rsid w:val="00305855"/>
    <w:rsid w:val="0030668B"/>
    <w:rsid w:val="00313DDE"/>
    <w:rsid w:val="0031491E"/>
    <w:rsid w:val="00317870"/>
    <w:rsid w:val="00320C6A"/>
    <w:rsid w:val="00320F37"/>
    <w:rsid w:val="00323E3F"/>
    <w:rsid w:val="00325C2A"/>
    <w:rsid w:val="003274CC"/>
    <w:rsid w:val="00330AC3"/>
    <w:rsid w:val="00332345"/>
    <w:rsid w:val="00332FBF"/>
    <w:rsid w:val="00333DCD"/>
    <w:rsid w:val="003365D0"/>
    <w:rsid w:val="00336A01"/>
    <w:rsid w:val="00337015"/>
    <w:rsid w:val="00337F70"/>
    <w:rsid w:val="003422AA"/>
    <w:rsid w:val="00344930"/>
    <w:rsid w:val="00346FE6"/>
    <w:rsid w:val="0035056C"/>
    <w:rsid w:val="00350D6A"/>
    <w:rsid w:val="00351F31"/>
    <w:rsid w:val="00354C8F"/>
    <w:rsid w:val="00356143"/>
    <w:rsid w:val="00363211"/>
    <w:rsid w:val="00363464"/>
    <w:rsid w:val="003636B8"/>
    <w:rsid w:val="003649BA"/>
    <w:rsid w:val="0036550E"/>
    <w:rsid w:val="003666E6"/>
    <w:rsid w:val="00370784"/>
    <w:rsid w:val="00374522"/>
    <w:rsid w:val="003750FF"/>
    <w:rsid w:val="00376109"/>
    <w:rsid w:val="00376154"/>
    <w:rsid w:val="0037634D"/>
    <w:rsid w:val="00377848"/>
    <w:rsid w:val="00377A80"/>
    <w:rsid w:val="00377CDD"/>
    <w:rsid w:val="00382740"/>
    <w:rsid w:val="003841B6"/>
    <w:rsid w:val="003868D0"/>
    <w:rsid w:val="00387BDE"/>
    <w:rsid w:val="00390D7A"/>
    <w:rsid w:val="00393097"/>
    <w:rsid w:val="0039350C"/>
    <w:rsid w:val="003947C1"/>
    <w:rsid w:val="003A0544"/>
    <w:rsid w:val="003A1507"/>
    <w:rsid w:val="003A57A2"/>
    <w:rsid w:val="003A6DF9"/>
    <w:rsid w:val="003A7E22"/>
    <w:rsid w:val="003B1289"/>
    <w:rsid w:val="003B2FDB"/>
    <w:rsid w:val="003B58D4"/>
    <w:rsid w:val="003B5994"/>
    <w:rsid w:val="003C1333"/>
    <w:rsid w:val="003C46F3"/>
    <w:rsid w:val="003C58A6"/>
    <w:rsid w:val="003C58F4"/>
    <w:rsid w:val="003C6DE6"/>
    <w:rsid w:val="003D5699"/>
    <w:rsid w:val="003D6F5D"/>
    <w:rsid w:val="003E0E50"/>
    <w:rsid w:val="003E1BDA"/>
    <w:rsid w:val="003E3DDC"/>
    <w:rsid w:val="003E684F"/>
    <w:rsid w:val="003E6DCA"/>
    <w:rsid w:val="003F12A6"/>
    <w:rsid w:val="003F141A"/>
    <w:rsid w:val="003F41A4"/>
    <w:rsid w:val="003F52B4"/>
    <w:rsid w:val="003F76F5"/>
    <w:rsid w:val="00401818"/>
    <w:rsid w:val="0040375B"/>
    <w:rsid w:val="004116F1"/>
    <w:rsid w:val="0041260E"/>
    <w:rsid w:val="00413BF0"/>
    <w:rsid w:val="00414B96"/>
    <w:rsid w:val="0041733E"/>
    <w:rsid w:val="00423637"/>
    <w:rsid w:val="00423CA5"/>
    <w:rsid w:val="004272C8"/>
    <w:rsid w:val="0042761C"/>
    <w:rsid w:val="004310A3"/>
    <w:rsid w:val="0043190D"/>
    <w:rsid w:val="00434308"/>
    <w:rsid w:val="004346BF"/>
    <w:rsid w:val="00437F83"/>
    <w:rsid w:val="00441913"/>
    <w:rsid w:val="00442C25"/>
    <w:rsid w:val="00445351"/>
    <w:rsid w:val="00450878"/>
    <w:rsid w:val="00450951"/>
    <w:rsid w:val="0045141E"/>
    <w:rsid w:val="00451F70"/>
    <w:rsid w:val="00452F88"/>
    <w:rsid w:val="00454DBE"/>
    <w:rsid w:val="00455D8D"/>
    <w:rsid w:val="00456CF1"/>
    <w:rsid w:val="0046292A"/>
    <w:rsid w:val="00467ECE"/>
    <w:rsid w:val="00470524"/>
    <w:rsid w:val="0047098B"/>
    <w:rsid w:val="00474DFB"/>
    <w:rsid w:val="0047743F"/>
    <w:rsid w:val="00480F1C"/>
    <w:rsid w:val="00482F97"/>
    <w:rsid w:val="00484702"/>
    <w:rsid w:val="00490E73"/>
    <w:rsid w:val="004926EF"/>
    <w:rsid w:val="00493A69"/>
    <w:rsid w:val="00493F3C"/>
    <w:rsid w:val="00494762"/>
    <w:rsid w:val="00495861"/>
    <w:rsid w:val="00495945"/>
    <w:rsid w:val="00497861"/>
    <w:rsid w:val="004A27E7"/>
    <w:rsid w:val="004A3F71"/>
    <w:rsid w:val="004A6B23"/>
    <w:rsid w:val="004B0B05"/>
    <w:rsid w:val="004B329E"/>
    <w:rsid w:val="004C2528"/>
    <w:rsid w:val="004C30F5"/>
    <w:rsid w:val="004D1E2A"/>
    <w:rsid w:val="004D6900"/>
    <w:rsid w:val="004E2869"/>
    <w:rsid w:val="004E4005"/>
    <w:rsid w:val="004E6057"/>
    <w:rsid w:val="004F2C2C"/>
    <w:rsid w:val="004F3502"/>
    <w:rsid w:val="004F423E"/>
    <w:rsid w:val="004F76E0"/>
    <w:rsid w:val="004F78ED"/>
    <w:rsid w:val="004F7B71"/>
    <w:rsid w:val="00500531"/>
    <w:rsid w:val="00502106"/>
    <w:rsid w:val="005060E9"/>
    <w:rsid w:val="005064AC"/>
    <w:rsid w:val="0050746B"/>
    <w:rsid w:val="00507DA1"/>
    <w:rsid w:val="00510CF4"/>
    <w:rsid w:val="00511C81"/>
    <w:rsid w:val="00521189"/>
    <w:rsid w:val="00522CF6"/>
    <w:rsid w:val="00523873"/>
    <w:rsid w:val="005247F9"/>
    <w:rsid w:val="005273F5"/>
    <w:rsid w:val="005305A7"/>
    <w:rsid w:val="005309C1"/>
    <w:rsid w:val="00532346"/>
    <w:rsid w:val="005332B9"/>
    <w:rsid w:val="005339A7"/>
    <w:rsid w:val="005409E7"/>
    <w:rsid w:val="00541477"/>
    <w:rsid w:val="00543B03"/>
    <w:rsid w:val="005444E0"/>
    <w:rsid w:val="005469C6"/>
    <w:rsid w:val="005475BE"/>
    <w:rsid w:val="00547EEC"/>
    <w:rsid w:val="00547EED"/>
    <w:rsid w:val="005504D9"/>
    <w:rsid w:val="00557409"/>
    <w:rsid w:val="00560AA7"/>
    <w:rsid w:val="00561F31"/>
    <w:rsid w:val="00563011"/>
    <w:rsid w:val="00565C87"/>
    <w:rsid w:val="0056743F"/>
    <w:rsid w:val="00573CA8"/>
    <w:rsid w:val="00576A50"/>
    <w:rsid w:val="00576F6A"/>
    <w:rsid w:val="005838EC"/>
    <w:rsid w:val="00585E4B"/>
    <w:rsid w:val="005865B0"/>
    <w:rsid w:val="005872E7"/>
    <w:rsid w:val="005A077F"/>
    <w:rsid w:val="005A25D5"/>
    <w:rsid w:val="005A6482"/>
    <w:rsid w:val="005B13DF"/>
    <w:rsid w:val="005B212C"/>
    <w:rsid w:val="005B3941"/>
    <w:rsid w:val="005B4243"/>
    <w:rsid w:val="005B4DCE"/>
    <w:rsid w:val="005B4E32"/>
    <w:rsid w:val="005C0CFE"/>
    <w:rsid w:val="005C336E"/>
    <w:rsid w:val="005C3F7D"/>
    <w:rsid w:val="005D2909"/>
    <w:rsid w:val="005D35AC"/>
    <w:rsid w:val="005D7ECD"/>
    <w:rsid w:val="005E0521"/>
    <w:rsid w:val="005E7B34"/>
    <w:rsid w:val="005F20E8"/>
    <w:rsid w:val="005F2880"/>
    <w:rsid w:val="005F2CD7"/>
    <w:rsid w:val="005F2DDB"/>
    <w:rsid w:val="005F3B83"/>
    <w:rsid w:val="005F5AED"/>
    <w:rsid w:val="005F668B"/>
    <w:rsid w:val="005F673E"/>
    <w:rsid w:val="00602151"/>
    <w:rsid w:val="006066F9"/>
    <w:rsid w:val="00614E24"/>
    <w:rsid w:val="006156BE"/>
    <w:rsid w:val="00616435"/>
    <w:rsid w:val="00617CFB"/>
    <w:rsid w:val="006205B1"/>
    <w:rsid w:val="006260A5"/>
    <w:rsid w:val="00626544"/>
    <w:rsid w:val="00627D25"/>
    <w:rsid w:val="006315E6"/>
    <w:rsid w:val="00632065"/>
    <w:rsid w:val="0063208C"/>
    <w:rsid w:val="00640F26"/>
    <w:rsid w:val="006412C3"/>
    <w:rsid w:val="006426EC"/>
    <w:rsid w:val="00642846"/>
    <w:rsid w:val="00644A46"/>
    <w:rsid w:val="00645E22"/>
    <w:rsid w:val="00655050"/>
    <w:rsid w:val="00655248"/>
    <w:rsid w:val="006611D6"/>
    <w:rsid w:val="006644A3"/>
    <w:rsid w:val="0066476C"/>
    <w:rsid w:val="006667C4"/>
    <w:rsid w:val="00667E29"/>
    <w:rsid w:val="00670DF1"/>
    <w:rsid w:val="00671F25"/>
    <w:rsid w:val="00673680"/>
    <w:rsid w:val="00680992"/>
    <w:rsid w:val="00681066"/>
    <w:rsid w:val="006813B8"/>
    <w:rsid w:val="0068331A"/>
    <w:rsid w:val="00684641"/>
    <w:rsid w:val="00684984"/>
    <w:rsid w:val="0069271A"/>
    <w:rsid w:val="0069502C"/>
    <w:rsid w:val="00695B9F"/>
    <w:rsid w:val="006A0C9D"/>
    <w:rsid w:val="006A19C8"/>
    <w:rsid w:val="006A3BD6"/>
    <w:rsid w:val="006A77CE"/>
    <w:rsid w:val="006B3976"/>
    <w:rsid w:val="006B3CE7"/>
    <w:rsid w:val="006B4352"/>
    <w:rsid w:val="006B4D4A"/>
    <w:rsid w:val="006B7DB1"/>
    <w:rsid w:val="006C0087"/>
    <w:rsid w:val="006C3DE6"/>
    <w:rsid w:val="006C3ECF"/>
    <w:rsid w:val="006C3FE7"/>
    <w:rsid w:val="006C6FF7"/>
    <w:rsid w:val="006D5286"/>
    <w:rsid w:val="006E27C9"/>
    <w:rsid w:val="006E47EB"/>
    <w:rsid w:val="006E4E2B"/>
    <w:rsid w:val="006E5CB6"/>
    <w:rsid w:val="006F00EC"/>
    <w:rsid w:val="006F4F33"/>
    <w:rsid w:val="006F73C1"/>
    <w:rsid w:val="006F7703"/>
    <w:rsid w:val="006F7CB4"/>
    <w:rsid w:val="00702CFF"/>
    <w:rsid w:val="00711AD9"/>
    <w:rsid w:val="00711AFE"/>
    <w:rsid w:val="00713E3E"/>
    <w:rsid w:val="007150FA"/>
    <w:rsid w:val="007202C9"/>
    <w:rsid w:val="00720943"/>
    <w:rsid w:val="00722A08"/>
    <w:rsid w:val="00724F84"/>
    <w:rsid w:val="00725B14"/>
    <w:rsid w:val="00733F63"/>
    <w:rsid w:val="007348F2"/>
    <w:rsid w:val="00734E48"/>
    <w:rsid w:val="00736B6F"/>
    <w:rsid w:val="00736FE5"/>
    <w:rsid w:val="0073715A"/>
    <w:rsid w:val="007423AF"/>
    <w:rsid w:val="0074416A"/>
    <w:rsid w:val="007463F7"/>
    <w:rsid w:val="00750622"/>
    <w:rsid w:val="007529CB"/>
    <w:rsid w:val="007537B7"/>
    <w:rsid w:val="00753A4A"/>
    <w:rsid w:val="007540C5"/>
    <w:rsid w:val="00757760"/>
    <w:rsid w:val="007610CA"/>
    <w:rsid w:val="00761D83"/>
    <w:rsid w:val="0076560A"/>
    <w:rsid w:val="00770578"/>
    <w:rsid w:val="0077455A"/>
    <w:rsid w:val="00780FD1"/>
    <w:rsid w:val="00781B26"/>
    <w:rsid w:val="0078410B"/>
    <w:rsid w:val="00787138"/>
    <w:rsid w:val="00790E4F"/>
    <w:rsid w:val="0079230D"/>
    <w:rsid w:val="00793019"/>
    <w:rsid w:val="00793732"/>
    <w:rsid w:val="007953EE"/>
    <w:rsid w:val="007A16C0"/>
    <w:rsid w:val="007A2E05"/>
    <w:rsid w:val="007A39D5"/>
    <w:rsid w:val="007A656A"/>
    <w:rsid w:val="007A785C"/>
    <w:rsid w:val="007A7C4B"/>
    <w:rsid w:val="007A7FE0"/>
    <w:rsid w:val="007B1157"/>
    <w:rsid w:val="007B30C7"/>
    <w:rsid w:val="007B69CE"/>
    <w:rsid w:val="007B6A16"/>
    <w:rsid w:val="007C0B28"/>
    <w:rsid w:val="007C0F11"/>
    <w:rsid w:val="007C2CA1"/>
    <w:rsid w:val="007C3AFA"/>
    <w:rsid w:val="007C65AA"/>
    <w:rsid w:val="007D26AA"/>
    <w:rsid w:val="007D3950"/>
    <w:rsid w:val="007E03AA"/>
    <w:rsid w:val="007E30DF"/>
    <w:rsid w:val="007E3E85"/>
    <w:rsid w:val="007E5042"/>
    <w:rsid w:val="007E6673"/>
    <w:rsid w:val="007E70FD"/>
    <w:rsid w:val="007F1AA7"/>
    <w:rsid w:val="007F2C7E"/>
    <w:rsid w:val="007F4B81"/>
    <w:rsid w:val="007F51EF"/>
    <w:rsid w:val="007F51F8"/>
    <w:rsid w:val="00801DC2"/>
    <w:rsid w:val="00804780"/>
    <w:rsid w:val="008075D0"/>
    <w:rsid w:val="00812E4A"/>
    <w:rsid w:val="0081533B"/>
    <w:rsid w:val="00815CBE"/>
    <w:rsid w:val="0081633B"/>
    <w:rsid w:val="00817092"/>
    <w:rsid w:val="00817460"/>
    <w:rsid w:val="00821E2A"/>
    <w:rsid w:val="0082793C"/>
    <w:rsid w:val="00830811"/>
    <w:rsid w:val="008314A5"/>
    <w:rsid w:val="008319AA"/>
    <w:rsid w:val="008335C0"/>
    <w:rsid w:val="0083374A"/>
    <w:rsid w:val="00835ADB"/>
    <w:rsid w:val="0083774A"/>
    <w:rsid w:val="00837787"/>
    <w:rsid w:val="008427FD"/>
    <w:rsid w:val="00842A03"/>
    <w:rsid w:val="008457F0"/>
    <w:rsid w:val="008475D7"/>
    <w:rsid w:val="008528D7"/>
    <w:rsid w:val="00852DE4"/>
    <w:rsid w:val="00853DCF"/>
    <w:rsid w:val="008605CB"/>
    <w:rsid w:val="008729A7"/>
    <w:rsid w:val="00875019"/>
    <w:rsid w:val="008804F0"/>
    <w:rsid w:val="00881664"/>
    <w:rsid w:val="00881CDD"/>
    <w:rsid w:val="0088485A"/>
    <w:rsid w:val="00884BA1"/>
    <w:rsid w:val="00885324"/>
    <w:rsid w:val="00886AB5"/>
    <w:rsid w:val="00886D23"/>
    <w:rsid w:val="00887BB2"/>
    <w:rsid w:val="008903E6"/>
    <w:rsid w:val="008905F6"/>
    <w:rsid w:val="00891DF8"/>
    <w:rsid w:val="008939AF"/>
    <w:rsid w:val="00893BBF"/>
    <w:rsid w:val="00893EA7"/>
    <w:rsid w:val="008A08FD"/>
    <w:rsid w:val="008A252F"/>
    <w:rsid w:val="008A2D06"/>
    <w:rsid w:val="008A4C28"/>
    <w:rsid w:val="008A5BFF"/>
    <w:rsid w:val="008B02C4"/>
    <w:rsid w:val="008C6E8D"/>
    <w:rsid w:val="008D0836"/>
    <w:rsid w:val="008D33A0"/>
    <w:rsid w:val="008D5666"/>
    <w:rsid w:val="008D5EA2"/>
    <w:rsid w:val="008D62D3"/>
    <w:rsid w:val="008E29FA"/>
    <w:rsid w:val="008E3C41"/>
    <w:rsid w:val="008E7C9B"/>
    <w:rsid w:val="008F15B3"/>
    <w:rsid w:val="008F1FD8"/>
    <w:rsid w:val="008F49C5"/>
    <w:rsid w:val="008F545C"/>
    <w:rsid w:val="008F69B5"/>
    <w:rsid w:val="00904CD4"/>
    <w:rsid w:val="00907000"/>
    <w:rsid w:val="00907AC3"/>
    <w:rsid w:val="00912F93"/>
    <w:rsid w:val="009137A1"/>
    <w:rsid w:val="009163DD"/>
    <w:rsid w:val="009222B2"/>
    <w:rsid w:val="0092232A"/>
    <w:rsid w:val="0092383A"/>
    <w:rsid w:val="0092596B"/>
    <w:rsid w:val="00925D09"/>
    <w:rsid w:val="00927231"/>
    <w:rsid w:val="00931034"/>
    <w:rsid w:val="009310FA"/>
    <w:rsid w:val="00931752"/>
    <w:rsid w:val="0093226C"/>
    <w:rsid w:val="00932414"/>
    <w:rsid w:val="009350BF"/>
    <w:rsid w:val="00935DEE"/>
    <w:rsid w:val="0093609B"/>
    <w:rsid w:val="009432DD"/>
    <w:rsid w:val="00944F55"/>
    <w:rsid w:val="00946EB4"/>
    <w:rsid w:val="009608CE"/>
    <w:rsid w:val="0096467F"/>
    <w:rsid w:val="00965B34"/>
    <w:rsid w:val="00965EEB"/>
    <w:rsid w:val="00970E06"/>
    <w:rsid w:val="00971173"/>
    <w:rsid w:val="009719E5"/>
    <w:rsid w:val="0097356C"/>
    <w:rsid w:val="00975674"/>
    <w:rsid w:val="00976354"/>
    <w:rsid w:val="009773B3"/>
    <w:rsid w:val="009806D8"/>
    <w:rsid w:val="00983CCF"/>
    <w:rsid w:val="009843B3"/>
    <w:rsid w:val="00984B2A"/>
    <w:rsid w:val="00985006"/>
    <w:rsid w:val="00986B96"/>
    <w:rsid w:val="00987EAD"/>
    <w:rsid w:val="00990090"/>
    <w:rsid w:val="00991EBE"/>
    <w:rsid w:val="00992804"/>
    <w:rsid w:val="009955A3"/>
    <w:rsid w:val="00995A7C"/>
    <w:rsid w:val="0099622E"/>
    <w:rsid w:val="009A0B11"/>
    <w:rsid w:val="009A1FFB"/>
    <w:rsid w:val="009A60CC"/>
    <w:rsid w:val="009A66DF"/>
    <w:rsid w:val="009A7550"/>
    <w:rsid w:val="009A7E43"/>
    <w:rsid w:val="009B734A"/>
    <w:rsid w:val="009C0C3D"/>
    <w:rsid w:val="009D09D5"/>
    <w:rsid w:val="009D2DFD"/>
    <w:rsid w:val="009D33E4"/>
    <w:rsid w:val="009D7584"/>
    <w:rsid w:val="009E338F"/>
    <w:rsid w:val="009E400C"/>
    <w:rsid w:val="009E5722"/>
    <w:rsid w:val="009E629A"/>
    <w:rsid w:val="009F02CA"/>
    <w:rsid w:val="009F045A"/>
    <w:rsid w:val="009F45AA"/>
    <w:rsid w:val="009F474D"/>
    <w:rsid w:val="009F573F"/>
    <w:rsid w:val="00A01377"/>
    <w:rsid w:val="00A01BF2"/>
    <w:rsid w:val="00A0310B"/>
    <w:rsid w:val="00A0315E"/>
    <w:rsid w:val="00A056D6"/>
    <w:rsid w:val="00A07224"/>
    <w:rsid w:val="00A07B04"/>
    <w:rsid w:val="00A10E20"/>
    <w:rsid w:val="00A16838"/>
    <w:rsid w:val="00A251B1"/>
    <w:rsid w:val="00A269AC"/>
    <w:rsid w:val="00A27228"/>
    <w:rsid w:val="00A273DA"/>
    <w:rsid w:val="00A31101"/>
    <w:rsid w:val="00A3262F"/>
    <w:rsid w:val="00A339C1"/>
    <w:rsid w:val="00A34227"/>
    <w:rsid w:val="00A35942"/>
    <w:rsid w:val="00A36B88"/>
    <w:rsid w:val="00A40E56"/>
    <w:rsid w:val="00A42583"/>
    <w:rsid w:val="00A425C4"/>
    <w:rsid w:val="00A45AAB"/>
    <w:rsid w:val="00A46F43"/>
    <w:rsid w:val="00A50207"/>
    <w:rsid w:val="00A539EA"/>
    <w:rsid w:val="00A55174"/>
    <w:rsid w:val="00A5792D"/>
    <w:rsid w:val="00A60968"/>
    <w:rsid w:val="00A622ED"/>
    <w:rsid w:val="00A7182C"/>
    <w:rsid w:val="00A74040"/>
    <w:rsid w:val="00A74F26"/>
    <w:rsid w:val="00A7500F"/>
    <w:rsid w:val="00A75952"/>
    <w:rsid w:val="00A82827"/>
    <w:rsid w:val="00A82A31"/>
    <w:rsid w:val="00A82B48"/>
    <w:rsid w:val="00A83A05"/>
    <w:rsid w:val="00A868DC"/>
    <w:rsid w:val="00A87C0D"/>
    <w:rsid w:val="00A911AA"/>
    <w:rsid w:val="00A96DFB"/>
    <w:rsid w:val="00AA4DD4"/>
    <w:rsid w:val="00AA55FA"/>
    <w:rsid w:val="00AA584B"/>
    <w:rsid w:val="00AB513B"/>
    <w:rsid w:val="00AB5682"/>
    <w:rsid w:val="00AB5ADE"/>
    <w:rsid w:val="00AB5E00"/>
    <w:rsid w:val="00AB6097"/>
    <w:rsid w:val="00AB6778"/>
    <w:rsid w:val="00AC40B4"/>
    <w:rsid w:val="00AC44C0"/>
    <w:rsid w:val="00AC5FE2"/>
    <w:rsid w:val="00AD02B0"/>
    <w:rsid w:val="00AD16D8"/>
    <w:rsid w:val="00AD1F0D"/>
    <w:rsid w:val="00AD3D20"/>
    <w:rsid w:val="00AD55E8"/>
    <w:rsid w:val="00AD59BD"/>
    <w:rsid w:val="00AD716D"/>
    <w:rsid w:val="00AE0C64"/>
    <w:rsid w:val="00AE10CA"/>
    <w:rsid w:val="00AE15E0"/>
    <w:rsid w:val="00AF0C8A"/>
    <w:rsid w:val="00AF2823"/>
    <w:rsid w:val="00AF6268"/>
    <w:rsid w:val="00B004FD"/>
    <w:rsid w:val="00B01D27"/>
    <w:rsid w:val="00B03034"/>
    <w:rsid w:val="00B0303A"/>
    <w:rsid w:val="00B05E0E"/>
    <w:rsid w:val="00B0713A"/>
    <w:rsid w:val="00B1104B"/>
    <w:rsid w:val="00B12E6B"/>
    <w:rsid w:val="00B13DC5"/>
    <w:rsid w:val="00B20F13"/>
    <w:rsid w:val="00B26962"/>
    <w:rsid w:val="00B26A8F"/>
    <w:rsid w:val="00B327B9"/>
    <w:rsid w:val="00B35BAF"/>
    <w:rsid w:val="00B37164"/>
    <w:rsid w:val="00B40594"/>
    <w:rsid w:val="00B43C87"/>
    <w:rsid w:val="00B43ED8"/>
    <w:rsid w:val="00B4640A"/>
    <w:rsid w:val="00B47855"/>
    <w:rsid w:val="00B47E20"/>
    <w:rsid w:val="00B52146"/>
    <w:rsid w:val="00B52DD7"/>
    <w:rsid w:val="00B55046"/>
    <w:rsid w:val="00B60BAD"/>
    <w:rsid w:val="00B6327D"/>
    <w:rsid w:val="00B6475B"/>
    <w:rsid w:val="00B65D3D"/>
    <w:rsid w:val="00B673FD"/>
    <w:rsid w:val="00B67BF6"/>
    <w:rsid w:val="00B706CD"/>
    <w:rsid w:val="00B70E17"/>
    <w:rsid w:val="00B7149A"/>
    <w:rsid w:val="00B71533"/>
    <w:rsid w:val="00B735D1"/>
    <w:rsid w:val="00B73FE4"/>
    <w:rsid w:val="00B77585"/>
    <w:rsid w:val="00B803F3"/>
    <w:rsid w:val="00B822E8"/>
    <w:rsid w:val="00B86031"/>
    <w:rsid w:val="00B86893"/>
    <w:rsid w:val="00B926B7"/>
    <w:rsid w:val="00B955EB"/>
    <w:rsid w:val="00B95CBC"/>
    <w:rsid w:val="00B960A0"/>
    <w:rsid w:val="00BA0851"/>
    <w:rsid w:val="00BA429A"/>
    <w:rsid w:val="00BB0AE4"/>
    <w:rsid w:val="00BB1EA3"/>
    <w:rsid w:val="00BB483B"/>
    <w:rsid w:val="00BB7F35"/>
    <w:rsid w:val="00BC2098"/>
    <w:rsid w:val="00BC3E25"/>
    <w:rsid w:val="00BD1783"/>
    <w:rsid w:val="00BD45C6"/>
    <w:rsid w:val="00BD5FBD"/>
    <w:rsid w:val="00BF68C1"/>
    <w:rsid w:val="00BF745B"/>
    <w:rsid w:val="00C003A9"/>
    <w:rsid w:val="00C00B10"/>
    <w:rsid w:val="00C02DB1"/>
    <w:rsid w:val="00C0536A"/>
    <w:rsid w:val="00C1697B"/>
    <w:rsid w:val="00C21899"/>
    <w:rsid w:val="00C25A1D"/>
    <w:rsid w:val="00C30901"/>
    <w:rsid w:val="00C31EA1"/>
    <w:rsid w:val="00C32DD7"/>
    <w:rsid w:val="00C34C27"/>
    <w:rsid w:val="00C369A7"/>
    <w:rsid w:val="00C372C9"/>
    <w:rsid w:val="00C45790"/>
    <w:rsid w:val="00C47AB8"/>
    <w:rsid w:val="00C50257"/>
    <w:rsid w:val="00C50FEF"/>
    <w:rsid w:val="00C57CD2"/>
    <w:rsid w:val="00C617D5"/>
    <w:rsid w:val="00C62CC2"/>
    <w:rsid w:val="00C65755"/>
    <w:rsid w:val="00C70F8A"/>
    <w:rsid w:val="00C71DF5"/>
    <w:rsid w:val="00C75873"/>
    <w:rsid w:val="00C80B17"/>
    <w:rsid w:val="00C81072"/>
    <w:rsid w:val="00C835F5"/>
    <w:rsid w:val="00C93BB5"/>
    <w:rsid w:val="00C9430E"/>
    <w:rsid w:val="00CA2DE1"/>
    <w:rsid w:val="00CA2E03"/>
    <w:rsid w:val="00CA4B63"/>
    <w:rsid w:val="00CA637C"/>
    <w:rsid w:val="00CB1394"/>
    <w:rsid w:val="00CC0F4D"/>
    <w:rsid w:val="00CC307A"/>
    <w:rsid w:val="00CC344D"/>
    <w:rsid w:val="00CC48E4"/>
    <w:rsid w:val="00CC78FD"/>
    <w:rsid w:val="00CD0082"/>
    <w:rsid w:val="00CD3174"/>
    <w:rsid w:val="00CD6787"/>
    <w:rsid w:val="00CD6DA3"/>
    <w:rsid w:val="00CE6114"/>
    <w:rsid w:val="00CF0A35"/>
    <w:rsid w:val="00CF34D3"/>
    <w:rsid w:val="00CF423E"/>
    <w:rsid w:val="00D00ECD"/>
    <w:rsid w:val="00D022C4"/>
    <w:rsid w:val="00D041AD"/>
    <w:rsid w:val="00D046D5"/>
    <w:rsid w:val="00D06A13"/>
    <w:rsid w:val="00D07FFA"/>
    <w:rsid w:val="00D13828"/>
    <w:rsid w:val="00D14859"/>
    <w:rsid w:val="00D15003"/>
    <w:rsid w:val="00D15093"/>
    <w:rsid w:val="00D20B86"/>
    <w:rsid w:val="00D217BE"/>
    <w:rsid w:val="00D22645"/>
    <w:rsid w:val="00D23110"/>
    <w:rsid w:val="00D234DE"/>
    <w:rsid w:val="00D2421F"/>
    <w:rsid w:val="00D2512C"/>
    <w:rsid w:val="00D302EF"/>
    <w:rsid w:val="00D30385"/>
    <w:rsid w:val="00D304C1"/>
    <w:rsid w:val="00D304EF"/>
    <w:rsid w:val="00D30AFB"/>
    <w:rsid w:val="00D30BC5"/>
    <w:rsid w:val="00D3225F"/>
    <w:rsid w:val="00D323F3"/>
    <w:rsid w:val="00D364A8"/>
    <w:rsid w:val="00D37824"/>
    <w:rsid w:val="00D414CC"/>
    <w:rsid w:val="00D41F05"/>
    <w:rsid w:val="00D46922"/>
    <w:rsid w:val="00D47F80"/>
    <w:rsid w:val="00D5324F"/>
    <w:rsid w:val="00D536CD"/>
    <w:rsid w:val="00D5437B"/>
    <w:rsid w:val="00D54F55"/>
    <w:rsid w:val="00D57EB4"/>
    <w:rsid w:val="00D63170"/>
    <w:rsid w:val="00D677ED"/>
    <w:rsid w:val="00D70CC7"/>
    <w:rsid w:val="00D75407"/>
    <w:rsid w:val="00D75DE3"/>
    <w:rsid w:val="00D76056"/>
    <w:rsid w:val="00D7619D"/>
    <w:rsid w:val="00D8013C"/>
    <w:rsid w:val="00D806CD"/>
    <w:rsid w:val="00D806E6"/>
    <w:rsid w:val="00D83F50"/>
    <w:rsid w:val="00D84F76"/>
    <w:rsid w:val="00D931C4"/>
    <w:rsid w:val="00D94091"/>
    <w:rsid w:val="00D94633"/>
    <w:rsid w:val="00D9519B"/>
    <w:rsid w:val="00DA04CA"/>
    <w:rsid w:val="00DA3311"/>
    <w:rsid w:val="00DA4BC6"/>
    <w:rsid w:val="00DA55BC"/>
    <w:rsid w:val="00DA70B5"/>
    <w:rsid w:val="00DB050D"/>
    <w:rsid w:val="00DB07D6"/>
    <w:rsid w:val="00DB3174"/>
    <w:rsid w:val="00DB73EA"/>
    <w:rsid w:val="00DC03CB"/>
    <w:rsid w:val="00DC3F4A"/>
    <w:rsid w:val="00DC6BC8"/>
    <w:rsid w:val="00DD02BC"/>
    <w:rsid w:val="00DD1BBF"/>
    <w:rsid w:val="00DD2173"/>
    <w:rsid w:val="00DD2611"/>
    <w:rsid w:val="00DD4227"/>
    <w:rsid w:val="00DD68D9"/>
    <w:rsid w:val="00DE08BB"/>
    <w:rsid w:val="00DE1EAD"/>
    <w:rsid w:val="00DE2E64"/>
    <w:rsid w:val="00DE354E"/>
    <w:rsid w:val="00DE67C1"/>
    <w:rsid w:val="00DE794F"/>
    <w:rsid w:val="00DF01ED"/>
    <w:rsid w:val="00DF2124"/>
    <w:rsid w:val="00DF3323"/>
    <w:rsid w:val="00DF40BD"/>
    <w:rsid w:val="00DF4A58"/>
    <w:rsid w:val="00DF5B57"/>
    <w:rsid w:val="00DF736A"/>
    <w:rsid w:val="00DF7D12"/>
    <w:rsid w:val="00E01F80"/>
    <w:rsid w:val="00E0408F"/>
    <w:rsid w:val="00E066BD"/>
    <w:rsid w:val="00E11281"/>
    <w:rsid w:val="00E13310"/>
    <w:rsid w:val="00E14BA0"/>
    <w:rsid w:val="00E24FC6"/>
    <w:rsid w:val="00E34DF8"/>
    <w:rsid w:val="00E354CA"/>
    <w:rsid w:val="00E379A8"/>
    <w:rsid w:val="00E416DB"/>
    <w:rsid w:val="00E42237"/>
    <w:rsid w:val="00E42DFF"/>
    <w:rsid w:val="00E4325A"/>
    <w:rsid w:val="00E4358F"/>
    <w:rsid w:val="00E5363F"/>
    <w:rsid w:val="00E57004"/>
    <w:rsid w:val="00E60F85"/>
    <w:rsid w:val="00E61A45"/>
    <w:rsid w:val="00E61F2D"/>
    <w:rsid w:val="00E635D4"/>
    <w:rsid w:val="00E64D51"/>
    <w:rsid w:val="00E65882"/>
    <w:rsid w:val="00E6701E"/>
    <w:rsid w:val="00E67729"/>
    <w:rsid w:val="00E70B87"/>
    <w:rsid w:val="00E71651"/>
    <w:rsid w:val="00E7206C"/>
    <w:rsid w:val="00E74436"/>
    <w:rsid w:val="00E75AE3"/>
    <w:rsid w:val="00E80C57"/>
    <w:rsid w:val="00E8301F"/>
    <w:rsid w:val="00E83297"/>
    <w:rsid w:val="00E84AAC"/>
    <w:rsid w:val="00E84C0F"/>
    <w:rsid w:val="00E85571"/>
    <w:rsid w:val="00E868A5"/>
    <w:rsid w:val="00E90AA4"/>
    <w:rsid w:val="00E90C9D"/>
    <w:rsid w:val="00E910FC"/>
    <w:rsid w:val="00E91114"/>
    <w:rsid w:val="00E91CD9"/>
    <w:rsid w:val="00E91DBD"/>
    <w:rsid w:val="00E94290"/>
    <w:rsid w:val="00E948D6"/>
    <w:rsid w:val="00EA050E"/>
    <w:rsid w:val="00EA1B4A"/>
    <w:rsid w:val="00EA2478"/>
    <w:rsid w:val="00EB05FC"/>
    <w:rsid w:val="00EB438C"/>
    <w:rsid w:val="00EB4E8D"/>
    <w:rsid w:val="00EB5A6E"/>
    <w:rsid w:val="00EC2140"/>
    <w:rsid w:val="00EC2FC6"/>
    <w:rsid w:val="00EC4338"/>
    <w:rsid w:val="00EC46A6"/>
    <w:rsid w:val="00EC74E3"/>
    <w:rsid w:val="00ED1A10"/>
    <w:rsid w:val="00ED2CC3"/>
    <w:rsid w:val="00EE0C3A"/>
    <w:rsid w:val="00EF2559"/>
    <w:rsid w:val="00EF4492"/>
    <w:rsid w:val="00EF6359"/>
    <w:rsid w:val="00EF7DE9"/>
    <w:rsid w:val="00F0358A"/>
    <w:rsid w:val="00F03A92"/>
    <w:rsid w:val="00F04055"/>
    <w:rsid w:val="00F04B5A"/>
    <w:rsid w:val="00F05FD1"/>
    <w:rsid w:val="00F11CD9"/>
    <w:rsid w:val="00F11FBC"/>
    <w:rsid w:val="00F2120F"/>
    <w:rsid w:val="00F21A1F"/>
    <w:rsid w:val="00F2259C"/>
    <w:rsid w:val="00F259C6"/>
    <w:rsid w:val="00F27939"/>
    <w:rsid w:val="00F319E6"/>
    <w:rsid w:val="00F32CEF"/>
    <w:rsid w:val="00F33098"/>
    <w:rsid w:val="00F36EA8"/>
    <w:rsid w:val="00F3769A"/>
    <w:rsid w:val="00F40A47"/>
    <w:rsid w:val="00F40B57"/>
    <w:rsid w:val="00F4118E"/>
    <w:rsid w:val="00F4339B"/>
    <w:rsid w:val="00F43DD7"/>
    <w:rsid w:val="00F43F0A"/>
    <w:rsid w:val="00F4798A"/>
    <w:rsid w:val="00F508DE"/>
    <w:rsid w:val="00F525B9"/>
    <w:rsid w:val="00F526A4"/>
    <w:rsid w:val="00F539B3"/>
    <w:rsid w:val="00F6045D"/>
    <w:rsid w:val="00F61141"/>
    <w:rsid w:val="00F62FDA"/>
    <w:rsid w:val="00F63343"/>
    <w:rsid w:val="00F64274"/>
    <w:rsid w:val="00F6435F"/>
    <w:rsid w:val="00F648D0"/>
    <w:rsid w:val="00F65E5C"/>
    <w:rsid w:val="00F67206"/>
    <w:rsid w:val="00F74E5B"/>
    <w:rsid w:val="00F758CD"/>
    <w:rsid w:val="00F76AEE"/>
    <w:rsid w:val="00F80724"/>
    <w:rsid w:val="00F81153"/>
    <w:rsid w:val="00F91BEB"/>
    <w:rsid w:val="00F924D3"/>
    <w:rsid w:val="00F94344"/>
    <w:rsid w:val="00F959CE"/>
    <w:rsid w:val="00FA1D25"/>
    <w:rsid w:val="00FA35F0"/>
    <w:rsid w:val="00FA7D5D"/>
    <w:rsid w:val="00FB066C"/>
    <w:rsid w:val="00FB2185"/>
    <w:rsid w:val="00FB35C9"/>
    <w:rsid w:val="00FB7255"/>
    <w:rsid w:val="00FC38C1"/>
    <w:rsid w:val="00FC3C8E"/>
    <w:rsid w:val="00FC5D07"/>
    <w:rsid w:val="00FD07F8"/>
    <w:rsid w:val="00FD2B1B"/>
    <w:rsid w:val="00FD4EC7"/>
    <w:rsid w:val="00FD57B3"/>
    <w:rsid w:val="00FD6B21"/>
    <w:rsid w:val="00FD75B8"/>
    <w:rsid w:val="00FE0F72"/>
    <w:rsid w:val="00FE3E82"/>
    <w:rsid w:val="00FE4F4A"/>
    <w:rsid w:val="00FE799B"/>
    <w:rsid w:val="00FE7C8A"/>
    <w:rsid w:val="00FF0EA2"/>
    <w:rsid w:val="00FF1C60"/>
    <w:rsid w:val="00FF2D05"/>
    <w:rsid w:val="00FF3AB6"/>
    <w:rsid w:val="00FF4084"/>
    <w:rsid w:val="00FF7998"/>
    <w:rsid w:val="0102440E"/>
    <w:rsid w:val="01141165"/>
    <w:rsid w:val="01216ADC"/>
    <w:rsid w:val="017C7B89"/>
    <w:rsid w:val="01CF7664"/>
    <w:rsid w:val="01EF5266"/>
    <w:rsid w:val="02210E88"/>
    <w:rsid w:val="022629B8"/>
    <w:rsid w:val="02447348"/>
    <w:rsid w:val="02627A70"/>
    <w:rsid w:val="026738FE"/>
    <w:rsid w:val="02A97F49"/>
    <w:rsid w:val="02AE1145"/>
    <w:rsid w:val="02BA1865"/>
    <w:rsid w:val="02C67F24"/>
    <w:rsid w:val="02CD61C5"/>
    <w:rsid w:val="02DC5D14"/>
    <w:rsid w:val="02DF17B7"/>
    <w:rsid w:val="02E46462"/>
    <w:rsid w:val="030448B6"/>
    <w:rsid w:val="030A3141"/>
    <w:rsid w:val="035241C7"/>
    <w:rsid w:val="035C5045"/>
    <w:rsid w:val="035D353C"/>
    <w:rsid w:val="03C53726"/>
    <w:rsid w:val="03CF4F90"/>
    <w:rsid w:val="03D63D1F"/>
    <w:rsid w:val="03EA05FE"/>
    <w:rsid w:val="03F449A5"/>
    <w:rsid w:val="041F6312"/>
    <w:rsid w:val="043B4C5B"/>
    <w:rsid w:val="043D4AFE"/>
    <w:rsid w:val="04660395"/>
    <w:rsid w:val="046D09B2"/>
    <w:rsid w:val="04770389"/>
    <w:rsid w:val="04BE099C"/>
    <w:rsid w:val="04BF763E"/>
    <w:rsid w:val="04F01086"/>
    <w:rsid w:val="04F36FED"/>
    <w:rsid w:val="0514088E"/>
    <w:rsid w:val="052878D5"/>
    <w:rsid w:val="054604F4"/>
    <w:rsid w:val="05794FC2"/>
    <w:rsid w:val="05936715"/>
    <w:rsid w:val="05C57E40"/>
    <w:rsid w:val="05E732EC"/>
    <w:rsid w:val="060E28C0"/>
    <w:rsid w:val="063535AE"/>
    <w:rsid w:val="069F3BC7"/>
    <w:rsid w:val="06B50CF4"/>
    <w:rsid w:val="06BE7D2A"/>
    <w:rsid w:val="06BF1794"/>
    <w:rsid w:val="06DE68EA"/>
    <w:rsid w:val="06FB77A7"/>
    <w:rsid w:val="06FF31F8"/>
    <w:rsid w:val="0713633A"/>
    <w:rsid w:val="071420CD"/>
    <w:rsid w:val="07155EBA"/>
    <w:rsid w:val="071C5217"/>
    <w:rsid w:val="07433499"/>
    <w:rsid w:val="078F6D55"/>
    <w:rsid w:val="07E30350"/>
    <w:rsid w:val="07E33D61"/>
    <w:rsid w:val="08BD724E"/>
    <w:rsid w:val="08CA179D"/>
    <w:rsid w:val="08D85F8B"/>
    <w:rsid w:val="08E41D65"/>
    <w:rsid w:val="08F61BCA"/>
    <w:rsid w:val="09012334"/>
    <w:rsid w:val="09062D4A"/>
    <w:rsid w:val="094E680B"/>
    <w:rsid w:val="09767957"/>
    <w:rsid w:val="097A4477"/>
    <w:rsid w:val="09B255F6"/>
    <w:rsid w:val="09B632C5"/>
    <w:rsid w:val="09B96D4E"/>
    <w:rsid w:val="09BC1BA8"/>
    <w:rsid w:val="09C57DA3"/>
    <w:rsid w:val="09CF1608"/>
    <w:rsid w:val="09F74F98"/>
    <w:rsid w:val="0A173A74"/>
    <w:rsid w:val="0A274E44"/>
    <w:rsid w:val="0A894917"/>
    <w:rsid w:val="0A9909A3"/>
    <w:rsid w:val="0AB85257"/>
    <w:rsid w:val="0B15159D"/>
    <w:rsid w:val="0B170598"/>
    <w:rsid w:val="0B1D2194"/>
    <w:rsid w:val="0B1F670B"/>
    <w:rsid w:val="0B315BF5"/>
    <w:rsid w:val="0B3C7C36"/>
    <w:rsid w:val="0B7F7B23"/>
    <w:rsid w:val="0B8B471A"/>
    <w:rsid w:val="0B991A80"/>
    <w:rsid w:val="0BD70CF5"/>
    <w:rsid w:val="0BEA757F"/>
    <w:rsid w:val="0BF146B2"/>
    <w:rsid w:val="0BFA1843"/>
    <w:rsid w:val="0C1819EF"/>
    <w:rsid w:val="0C1E1717"/>
    <w:rsid w:val="0C3158F8"/>
    <w:rsid w:val="0C5E4BDB"/>
    <w:rsid w:val="0C605926"/>
    <w:rsid w:val="0C71781C"/>
    <w:rsid w:val="0C951BE9"/>
    <w:rsid w:val="0C971113"/>
    <w:rsid w:val="0CA55336"/>
    <w:rsid w:val="0CD01CF8"/>
    <w:rsid w:val="0CD71238"/>
    <w:rsid w:val="0CE51C08"/>
    <w:rsid w:val="0CE71889"/>
    <w:rsid w:val="0D174E33"/>
    <w:rsid w:val="0D2E109F"/>
    <w:rsid w:val="0D3D1A44"/>
    <w:rsid w:val="0D55738B"/>
    <w:rsid w:val="0D87074F"/>
    <w:rsid w:val="0D9B0E39"/>
    <w:rsid w:val="0D9C30EB"/>
    <w:rsid w:val="0DE50906"/>
    <w:rsid w:val="0E260FC1"/>
    <w:rsid w:val="0E360E7B"/>
    <w:rsid w:val="0E59465B"/>
    <w:rsid w:val="0E5B40AE"/>
    <w:rsid w:val="0E76663B"/>
    <w:rsid w:val="0E910299"/>
    <w:rsid w:val="0E952616"/>
    <w:rsid w:val="0EB6612D"/>
    <w:rsid w:val="0EB84501"/>
    <w:rsid w:val="0EEC24B8"/>
    <w:rsid w:val="0F3F3FB8"/>
    <w:rsid w:val="0F6610B5"/>
    <w:rsid w:val="0FA309A4"/>
    <w:rsid w:val="0FBB3C13"/>
    <w:rsid w:val="0FC55D63"/>
    <w:rsid w:val="0FD22917"/>
    <w:rsid w:val="0FE00FBE"/>
    <w:rsid w:val="0FE4764A"/>
    <w:rsid w:val="0FE96008"/>
    <w:rsid w:val="100C0208"/>
    <w:rsid w:val="10360498"/>
    <w:rsid w:val="105B1554"/>
    <w:rsid w:val="1060717A"/>
    <w:rsid w:val="10667503"/>
    <w:rsid w:val="10791949"/>
    <w:rsid w:val="1090632E"/>
    <w:rsid w:val="10D42720"/>
    <w:rsid w:val="10EE089A"/>
    <w:rsid w:val="10EF12A7"/>
    <w:rsid w:val="10F71C17"/>
    <w:rsid w:val="111E3297"/>
    <w:rsid w:val="116D4567"/>
    <w:rsid w:val="1197027F"/>
    <w:rsid w:val="11BA18B5"/>
    <w:rsid w:val="11C52008"/>
    <w:rsid w:val="11F56B53"/>
    <w:rsid w:val="11FA7F03"/>
    <w:rsid w:val="1212713C"/>
    <w:rsid w:val="121937F6"/>
    <w:rsid w:val="126E2B7D"/>
    <w:rsid w:val="127D493D"/>
    <w:rsid w:val="12E51A10"/>
    <w:rsid w:val="12E7762A"/>
    <w:rsid w:val="12FF6A4C"/>
    <w:rsid w:val="131A7FCB"/>
    <w:rsid w:val="131E7C21"/>
    <w:rsid w:val="133D02AF"/>
    <w:rsid w:val="135410A5"/>
    <w:rsid w:val="13802EB4"/>
    <w:rsid w:val="13860B47"/>
    <w:rsid w:val="13A30F4A"/>
    <w:rsid w:val="13A32C34"/>
    <w:rsid w:val="13B47B12"/>
    <w:rsid w:val="13D97410"/>
    <w:rsid w:val="13E64229"/>
    <w:rsid w:val="13FC6539"/>
    <w:rsid w:val="14002B06"/>
    <w:rsid w:val="142246AE"/>
    <w:rsid w:val="147235CB"/>
    <w:rsid w:val="148A43E5"/>
    <w:rsid w:val="14C831C7"/>
    <w:rsid w:val="14CA29C4"/>
    <w:rsid w:val="14CE6A25"/>
    <w:rsid w:val="14DE6A97"/>
    <w:rsid w:val="14E20A97"/>
    <w:rsid w:val="14E7317F"/>
    <w:rsid w:val="14F30B3E"/>
    <w:rsid w:val="14F74BCE"/>
    <w:rsid w:val="14F830AD"/>
    <w:rsid w:val="15E72087"/>
    <w:rsid w:val="15EA1428"/>
    <w:rsid w:val="16050428"/>
    <w:rsid w:val="160F2114"/>
    <w:rsid w:val="162E4042"/>
    <w:rsid w:val="16537C34"/>
    <w:rsid w:val="165B703F"/>
    <w:rsid w:val="16AB6E58"/>
    <w:rsid w:val="16B355D9"/>
    <w:rsid w:val="16D56EFC"/>
    <w:rsid w:val="16F74F1E"/>
    <w:rsid w:val="17024CD6"/>
    <w:rsid w:val="17095714"/>
    <w:rsid w:val="171434D6"/>
    <w:rsid w:val="171E4694"/>
    <w:rsid w:val="173F17FA"/>
    <w:rsid w:val="17705BD2"/>
    <w:rsid w:val="179C58FE"/>
    <w:rsid w:val="17A34B99"/>
    <w:rsid w:val="17B77150"/>
    <w:rsid w:val="17C47473"/>
    <w:rsid w:val="17C77BAD"/>
    <w:rsid w:val="17DE3E23"/>
    <w:rsid w:val="18252924"/>
    <w:rsid w:val="182D5F80"/>
    <w:rsid w:val="182F66A8"/>
    <w:rsid w:val="18371EB1"/>
    <w:rsid w:val="18735571"/>
    <w:rsid w:val="187C68D6"/>
    <w:rsid w:val="18822A00"/>
    <w:rsid w:val="18981986"/>
    <w:rsid w:val="18A50F96"/>
    <w:rsid w:val="18AE37F5"/>
    <w:rsid w:val="18B2364E"/>
    <w:rsid w:val="191571B8"/>
    <w:rsid w:val="193B2A0D"/>
    <w:rsid w:val="196E0DDD"/>
    <w:rsid w:val="197421F2"/>
    <w:rsid w:val="197E170F"/>
    <w:rsid w:val="199F13B1"/>
    <w:rsid w:val="19BA623B"/>
    <w:rsid w:val="19C457D2"/>
    <w:rsid w:val="19EE14EC"/>
    <w:rsid w:val="1A442391"/>
    <w:rsid w:val="1A5D5615"/>
    <w:rsid w:val="1A700209"/>
    <w:rsid w:val="1A8800D7"/>
    <w:rsid w:val="1A912CA0"/>
    <w:rsid w:val="1A9D6753"/>
    <w:rsid w:val="1AC7651A"/>
    <w:rsid w:val="1ACA76D4"/>
    <w:rsid w:val="1AD43B7E"/>
    <w:rsid w:val="1AEA4E70"/>
    <w:rsid w:val="1AF8700F"/>
    <w:rsid w:val="1AFA336C"/>
    <w:rsid w:val="1B002884"/>
    <w:rsid w:val="1B0672B1"/>
    <w:rsid w:val="1B292AE1"/>
    <w:rsid w:val="1B3E075A"/>
    <w:rsid w:val="1B461D64"/>
    <w:rsid w:val="1B486183"/>
    <w:rsid w:val="1B4A62AF"/>
    <w:rsid w:val="1B7B5F50"/>
    <w:rsid w:val="1B8C129B"/>
    <w:rsid w:val="1BA36A30"/>
    <w:rsid w:val="1BB84764"/>
    <w:rsid w:val="1C1B1638"/>
    <w:rsid w:val="1C3F6B4B"/>
    <w:rsid w:val="1C6B39F7"/>
    <w:rsid w:val="1CA15A6D"/>
    <w:rsid w:val="1CA346D1"/>
    <w:rsid w:val="1CA8148A"/>
    <w:rsid w:val="1CC150D4"/>
    <w:rsid w:val="1CD70B23"/>
    <w:rsid w:val="1CED6DD8"/>
    <w:rsid w:val="1CEF673E"/>
    <w:rsid w:val="1CF85987"/>
    <w:rsid w:val="1D0317FE"/>
    <w:rsid w:val="1D296A03"/>
    <w:rsid w:val="1D382D82"/>
    <w:rsid w:val="1D596C1F"/>
    <w:rsid w:val="1D9B7CAF"/>
    <w:rsid w:val="1DD45C20"/>
    <w:rsid w:val="1DF963A6"/>
    <w:rsid w:val="1E012C2E"/>
    <w:rsid w:val="1E4C5CD8"/>
    <w:rsid w:val="1E69436A"/>
    <w:rsid w:val="1F172AC9"/>
    <w:rsid w:val="1F20466C"/>
    <w:rsid w:val="1F3D5D67"/>
    <w:rsid w:val="1F4914FC"/>
    <w:rsid w:val="1F537329"/>
    <w:rsid w:val="1FB34563"/>
    <w:rsid w:val="1FC30418"/>
    <w:rsid w:val="1FEC269A"/>
    <w:rsid w:val="1FFF0585"/>
    <w:rsid w:val="202A22FB"/>
    <w:rsid w:val="20480D0E"/>
    <w:rsid w:val="208E5689"/>
    <w:rsid w:val="20946C3C"/>
    <w:rsid w:val="20BD224F"/>
    <w:rsid w:val="20CB5472"/>
    <w:rsid w:val="20FA39C6"/>
    <w:rsid w:val="21075857"/>
    <w:rsid w:val="215238B8"/>
    <w:rsid w:val="218527F3"/>
    <w:rsid w:val="218E44CF"/>
    <w:rsid w:val="21AD4F92"/>
    <w:rsid w:val="21E64BDC"/>
    <w:rsid w:val="21E834AB"/>
    <w:rsid w:val="21F42BC1"/>
    <w:rsid w:val="2211644E"/>
    <w:rsid w:val="221C7A1C"/>
    <w:rsid w:val="22203DC6"/>
    <w:rsid w:val="223D7BA7"/>
    <w:rsid w:val="226741B8"/>
    <w:rsid w:val="22690D3D"/>
    <w:rsid w:val="22734061"/>
    <w:rsid w:val="22A9693F"/>
    <w:rsid w:val="22B61403"/>
    <w:rsid w:val="22CF2CE6"/>
    <w:rsid w:val="22E76571"/>
    <w:rsid w:val="233B65CE"/>
    <w:rsid w:val="23720241"/>
    <w:rsid w:val="237957F3"/>
    <w:rsid w:val="23BA5A72"/>
    <w:rsid w:val="23D40D77"/>
    <w:rsid w:val="240C7B89"/>
    <w:rsid w:val="24107A5A"/>
    <w:rsid w:val="24CA3BF8"/>
    <w:rsid w:val="24E3301F"/>
    <w:rsid w:val="24ED4CEE"/>
    <w:rsid w:val="24F243F3"/>
    <w:rsid w:val="25051593"/>
    <w:rsid w:val="25080E92"/>
    <w:rsid w:val="250F600E"/>
    <w:rsid w:val="252202C3"/>
    <w:rsid w:val="254B55DF"/>
    <w:rsid w:val="25675D44"/>
    <w:rsid w:val="25BD188D"/>
    <w:rsid w:val="25C51A0D"/>
    <w:rsid w:val="25D23219"/>
    <w:rsid w:val="263410B9"/>
    <w:rsid w:val="267E61AE"/>
    <w:rsid w:val="269229A8"/>
    <w:rsid w:val="26942B0B"/>
    <w:rsid w:val="27085D7B"/>
    <w:rsid w:val="270C275B"/>
    <w:rsid w:val="271F0DE4"/>
    <w:rsid w:val="27E62B4E"/>
    <w:rsid w:val="27FD6AED"/>
    <w:rsid w:val="2802141E"/>
    <w:rsid w:val="282B1738"/>
    <w:rsid w:val="286677B4"/>
    <w:rsid w:val="28B17731"/>
    <w:rsid w:val="28BC1F5F"/>
    <w:rsid w:val="294F2968"/>
    <w:rsid w:val="2955339D"/>
    <w:rsid w:val="296A36AE"/>
    <w:rsid w:val="296C128F"/>
    <w:rsid w:val="2974391C"/>
    <w:rsid w:val="297B3A9A"/>
    <w:rsid w:val="298A2CBD"/>
    <w:rsid w:val="29CE65A9"/>
    <w:rsid w:val="29F155DE"/>
    <w:rsid w:val="29F16E26"/>
    <w:rsid w:val="29F30D43"/>
    <w:rsid w:val="2A5C3764"/>
    <w:rsid w:val="2A785DAF"/>
    <w:rsid w:val="2AA26FB9"/>
    <w:rsid w:val="2AB96610"/>
    <w:rsid w:val="2B1D7DA9"/>
    <w:rsid w:val="2B2254E3"/>
    <w:rsid w:val="2B402AFF"/>
    <w:rsid w:val="2B5338B2"/>
    <w:rsid w:val="2B75757C"/>
    <w:rsid w:val="2BD16759"/>
    <w:rsid w:val="2BE315B0"/>
    <w:rsid w:val="2C090E91"/>
    <w:rsid w:val="2C0D6BE1"/>
    <w:rsid w:val="2C6A5179"/>
    <w:rsid w:val="2D093B30"/>
    <w:rsid w:val="2D0B3DFA"/>
    <w:rsid w:val="2D0F01B1"/>
    <w:rsid w:val="2D213D10"/>
    <w:rsid w:val="2D3438F6"/>
    <w:rsid w:val="2D4F5C2E"/>
    <w:rsid w:val="2D722B3B"/>
    <w:rsid w:val="2D7E5D05"/>
    <w:rsid w:val="2DC269DF"/>
    <w:rsid w:val="2DC915F3"/>
    <w:rsid w:val="2DCA7962"/>
    <w:rsid w:val="2DD5020F"/>
    <w:rsid w:val="2DF02CA4"/>
    <w:rsid w:val="2E2E6F5D"/>
    <w:rsid w:val="2E46470C"/>
    <w:rsid w:val="2E671A92"/>
    <w:rsid w:val="2EF534D7"/>
    <w:rsid w:val="2EF96770"/>
    <w:rsid w:val="2EFF08D4"/>
    <w:rsid w:val="2F0957D2"/>
    <w:rsid w:val="2F200202"/>
    <w:rsid w:val="2F2876F6"/>
    <w:rsid w:val="2F46248F"/>
    <w:rsid w:val="2F490B7B"/>
    <w:rsid w:val="2F4F58DB"/>
    <w:rsid w:val="2F896019"/>
    <w:rsid w:val="2F9037FD"/>
    <w:rsid w:val="2FAA135A"/>
    <w:rsid w:val="2FF04B2D"/>
    <w:rsid w:val="3009205C"/>
    <w:rsid w:val="303175CA"/>
    <w:rsid w:val="308778F4"/>
    <w:rsid w:val="30931A98"/>
    <w:rsid w:val="30F40C92"/>
    <w:rsid w:val="311E3616"/>
    <w:rsid w:val="31886E89"/>
    <w:rsid w:val="318E63F5"/>
    <w:rsid w:val="31A02572"/>
    <w:rsid w:val="31AE5093"/>
    <w:rsid w:val="31C00C6D"/>
    <w:rsid w:val="32146967"/>
    <w:rsid w:val="32B13765"/>
    <w:rsid w:val="32CE3529"/>
    <w:rsid w:val="32D14285"/>
    <w:rsid w:val="32E97DF4"/>
    <w:rsid w:val="33126CC8"/>
    <w:rsid w:val="33210BEA"/>
    <w:rsid w:val="332907DD"/>
    <w:rsid w:val="338A0FFE"/>
    <w:rsid w:val="33AB3641"/>
    <w:rsid w:val="33B01287"/>
    <w:rsid w:val="33E30C00"/>
    <w:rsid w:val="342015F4"/>
    <w:rsid w:val="34321301"/>
    <w:rsid w:val="34350BD2"/>
    <w:rsid w:val="34516FBA"/>
    <w:rsid w:val="34551588"/>
    <w:rsid w:val="348D0DE0"/>
    <w:rsid w:val="34E72E66"/>
    <w:rsid w:val="34F40A36"/>
    <w:rsid w:val="34FA1754"/>
    <w:rsid w:val="35066A3B"/>
    <w:rsid w:val="350D0497"/>
    <w:rsid w:val="35906A0A"/>
    <w:rsid w:val="35A77A8C"/>
    <w:rsid w:val="35AE03AF"/>
    <w:rsid w:val="364345B5"/>
    <w:rsid w:val="365F1F6A"/>
    <w:rsid w:val="36681030"/>
    <w:rsid w:val="36B96A8A"/>
    <w:rsid w:val="36BD137C"/>
    <w:rsid w:val="36D6068F"/>
    <w:rsid w:val="36D665C6"/>
    <w:rsid w:val="36DE12F2"/>
    <w:rsid w:val="36E74A1D"/>
    <w:rsid w:val="36FF34B4"/>
    <w:rsid w:val="371343A8"/>
    <w:rsid w:val="37477009"/>
    <w:rsid w:val="374F7E57"/>
    <w:rsid w:val="37972F72"/>
    <w:rsid w:val="37CF7A21"/>
    <w:rsid w:val="37D57F4F"/>
    <w:rsid w:val="37F7266B"/>
    <w:rsid w:val="380E3623"/>
    <w:rsid w:val="381805E4"/>
    <w:rsid w:val="38293142"/>
    <w:rsid w:val="382E145E"/>
    <w:rsid w:val="383C1E9A"/>
    <w:rsid w:val="38661408"/>
    <w:rsid w:val="386E77F0"/>
    <w:rsid w:val="38786E78"/>
    <w:rsid w:val="38EC5821"/>
    <w:rsid w:val="39126689"/>
    <w:rsid w:val="39363667"/>
    <w:rsid w:val="39560117"/>
    <w:rsid w:val="398E5D32"/>
    <w:rsid w:val="39D53196"/>
    <w:rsid w:val="39DD6B39"/>
    <w:rsid w:val="39DE2EFD"/>
    <w:rsid w:val="3A1E4A9F"/>
    <w:rsid w:val="3A7B5EB7"/>
    <w:rsid w:val="3A8C542C"/>
    <w:rsid w:val="3A9C5E58"/>
    <w:rsid w:val="3AB2466D"/>
    <w:rsid w:val="3B6B7191"/>
    <w:rsid w:val="3B6D6C9D"/>
    <w:rsid w:val="3B7105F7"/>
    <w:rsid w:val="3B865549"/>
    <w:rsid w:val="3B991527"/>
    <w:rsid w:val="3BBA3226"/>
    <w:rsid w:val="3BE555DB"/>
    <w:rsid w:val="3C1A2E75"/>
    <w:rsid w:val="3C2035E8"/>
    <w:rsid w:val="3C394411"/>
    <w:rsid w:val="3C4B6F16"/>
    <w:rsid w:val="3C5C1637"/>
    <w:rsid w:val="3C982E98"/>
    <w:rsid w:val="3CB43221"/>
    <w:rsid w:val="3CB44FCF"/>
    <w:rsid w:val="3CEE31DC"/>
    <w:rsid w:val="3CF879FA"/>
    <w:rsid w:val="3D0671F3"/>
    <w:rsid w:val="3D082EDD"/>
    <w:rsid w:val="3D501F70"/>
    <w:rsid w:val="3D6550CA"/>
    <w:rsid w:val="3D7441A3"/>
    <w:rsid w:val="3DBA36D0"/>
    <w:rsid w:val="3DE07F1F"/>
    <w:rsid w:val="3E195B12"/>
    <w:rsid w:val="3E3A3AB4"/>
    <w:rsid w:val="3EA06961"/>
    <w:rsid w:val="3EA34825"/>
    <w:rsid w:val="3EC863AC"/>
    <w:rsid w:val="3EDA1A09"/>
    <w:rsid w:val="3EFB5613"/>
    <w:rsid w:val="3F0931B0"/>
    <w:rsid w:val="3F2E715B"/>
    <w:rsid w:val="3F4F0980"/>
    <w:rsid w:val="3F6F342F"/>
    <w:rsid w:val="3F801576"/>
    <w:rsid w:val="3FA40B6F"/>
    <w:rsid w:val="3FAB70CF"/>
    <w:rsid w:val="3FD87116"/>
    <w:rsid w:val="3FFE6992"/>
    <w:rsid w:val="40163A63"/>
    <w:rsid w:val="40176759"/>
    <w:rsid w:val="404D47A6"/>
    <w:rsid w:val="405946F0"/>
    <w:rsid w:val="40707F34"/>
    <w:rsid w:val="40857B77"/>
    <w:rsid w:val="409048C4"/>
    <w:rsid w:val="40AC2ECC"/>
    <w:rsid w:val="40B55DE1"/>
    <w:rsid w:val="40C54122"/>
    <w:rsid w:val="40DC2D46"/>
    <w:rsid w:val="41005647"/>
    <w:rsid w:val="41091B17"/>
    <w:rsid w:val="412C3BD7"/>
    <w:rsid w:val="41605A1F"/>
    <w:rsid w:val="417750E6"/>
    <w:rsid w:val="41782D13"/>
    <w:rsid w:val="41782DCE"/>
    <w:rsid w:val="417E026D"/>
    <w:rsid w:val="41A76EB0"/>
    <w:rsid w:val="41BC38A5"/>
    <w:rsid w:val="41CD1BEB"/>
    <w:rsid w:val="42180E61"/>
    <w:rsid w:val="423A4B22"/>
    <w:rsid w:val="425713DC"/>
    <w:rsid w:val="42580031"/>
    <w:rsid w:val="425A2CB9"/>
    <w:rsid w:val="42654D34"/>
    <w:rsid w:val="426C2B05"/>
    <w:rsid w:val="42702626"/>
    <w:rsid w:val="427A637F"/>
    <w:rsid w:val="42917ABE"/>
    <w:rsid w:val="429548C4"/>
    <w:rsid w:val="42C44EF6"/>
    <w:rsid w:val="42C80727"/>
    <w:rsid w:val="4307753C"/>
    <w:rsid w:val="43267716"/>
    <w:rsid w:val="43313553"/>
    <w:rsid w:val="43477794"/>
    <w:rsid w:val="435622E8"/>
    <w:rsid w:val="435F7ABD"/>
    <w:rsid w:val="43750552"/>
    <w:rsid w:val="438538D0"/>
    <w:rsid w:val="43CB7E17"/>
    <w:rsid w:val="43EF2FB1"/>
    <w:rsid w:val="43F01D97"/>
    <w:rsid w:val="43FA10BD"/>
    <w:rsid w:val="442639F8"/>
    <w:rsid w:val="442D31C6"/>
    <w:rsid w:val="44C54B99"/>
    <w:rsid w:val="44C63DD1"/>
    <w:rsid w:val="45014809"/>
    <w:rsid w:val="450B155F"/>
    <w:rsid w:val="453F09F3"/>
    <w:rsid w:val="4555531B"/>
    <w:rsid w:val="455B33A5"/>
    <w:rsid w:val="456A4DC4"/>
    <w:rsid w:val="457F02E8"/>
    <w:rsid w:val="459D438A"/>
    <w:rsid w:val="45D739C1"/>
    <w:rsid w:val="45DA6D7F"/>
    <w:rsid w:val="45F51880"/>
    <w:rsid w:val="45FD4981"/>
    <w:rsid w:val="46142846"/>
    <w:rsid w:val="461F6CA9"/>
    <w:rsid w:val="4633666C"/>
    <w:rsid w:val="46555C55"/>
    <w:rsid w:val="46605447"/>
    <w:rsid w:val="469320F9"/>
    <w:rsid w:val="46AF29A0"/>
    <w:rsid w:val="46B34C00"/>
    <w:rsid w:val="46B55AEE"/>
    <w:rsid w:val="46C655F9"/>
    <w:rsid w:val="46EC20FF"/>
    <w:rsid w:val="473016F6"/>
    <w:rsid w:val="474354C0"/>
    <w:rsid w:val="475950F1"/>
    <w:rsid w:val="478A7F6A"/>
    <w:rsid w:val="478F14B0"/>
    <w:rsid w:val="47AC1EFC"/>
    <w:rsid w:val="47E53213"/>
    <w:rsid w:val="47FF5484"/>
    <w:rsid w:val="47FF6E90"/>
    <w:rsid w:val="48092CB0"/>
    <w:rsid w:val="48192F78"/>
    <w:rsid w:val="48666CEB"/>
    <w:rsid w:val="4A16706C"/>
    <w:rsid w:val="4A256A46"/>
    <w:rsid w:val="4A9903AA"/>
    <w:rsid w:val="4ABA5561"/>
    <w:rsid w:val="4AC42881"/>
    <w:rsid w:val="4AD808BF"/>
    <w:rsid w:val="4AEA7618"/>
    <w:rsid w:val="4B0B636F"/>
    <w:rsid w:val="4B102581"/>
    <w:rsid w:val="4B3B7087"/>
    <w:rsid w:val="4B7B1714"/>
    <w:rsid w:val="4B8F0CDB"/>
    <w:rsid w:val="4BC627D5"/>
    <w:rsid w:val="4BE63901"/>
    <w:rsid w:val="4BE72C3E"/>
    <w:rsid w:val="4BEF68DD"/>
    <w:rsid w:val="4BF25089"/>
    <w:rsid w:val="4C283EBE"/>
    <w:rsid w:val="4C6C3CF7"/>
    <w:rsid w:val="4C7B5D7C"/>
    <w:rsid w:val="4C957D14"/>
    <w:rsid w:val="4CAD2366"/>
    <w:rsid w:val="4CF50308"/>
    <w:rsid w:val="4CF663D4"/>
    <w:rsid w:val="4CFD3864"/>
    <w:rsid w:val="4D091F85"/>
    <w:rsid w:val="4D2437DD"/>
    <w:rsid w:val="4D545917"/>
    <w:rsid w:val="4D6B053D"/>
    <w:rsid w:val="4DC04958"/>
    <w:rsid w:val="4DEE388A"/>
    <w:rsid w:val="4DFC20CE"/>
    <w:rsid w:val="4E426EAE"/>
    <w:rsid w:val="4E8F5236"/>
    <w:rsid w:val="4E915170"/>
    <w:rsid w:val="4EB610A9"/>
    <w:rsid w:val="4ED14877"/>
    <w:rsid w:val="4EE21891"/>
    <w:rsid w:val="4EEA6893"/>
    <w:rsid w:val="4EF329B9"/>
    <w:rsid w:val="4EFD5859"/>
    <w:rsid w:val="4F0D0721"/>
    <w:rsid w:val="4F132029"/>
    <w:rsid w:val="4F2E3990"/>
    <w:rsid w:val="4F463C54"/>
    <w:rsid w:val="4F5A3568"/>
    <w:rsid w:val="4F612248"/>
    <w:rsid w:val="4F63354A"/>
    <w:rsid w:val="4F995065"/>
    <w:rsid w:val="4F9A35A9"/>
    <w:rsid w:val="4F9B2BD5"/>
    <w:rsid w:val="4FA87E18"/>
    <w:rsid w:val="4FDE4459"/>
    <w:rsid w:val="4FDF1D2D"/>
    <w:rsid w:val="4FE173BA"/>
    <w:rsid w:val="4FFA682C"/>
    <w:rsid w:val="5020225E"/>
    <w:rsid w:val="50363EAE"/>
    <w:rsid w:val="50484627"/>
    <w:rsid w:val="50535B9A"/>
    <w:rsid w:val="506A3ECB"/>
    <w:rsid w:val="506E7A4F"/>
    <w:rsid w:val="50923421"/>
    <w:rsid w:val="50944111"/>
    <w:rsid w:val="50A100C5"/>
    <w:rsid w:val="50A373E8"/>
    <w:rsid w:val="50A54659"/>
    <w:rsid w:val="50A552F6"/>
    <w:rsid w:val="50C50A50"/>
    <w:rsid w:val="50CB5493"/>
    <w:rsid w:val="50CC248F"/>
    <w:rsid w:val="50F87728"/>
    <w:rsid w:val="50FC4DA8"/>
    <w:rsid w:val="51121CAD"/>
    <w:rsid w:val="51315A8A"/>
    <w:rsid w:val="513B3E68"/>
    <w:rsid w:val="51422E14"/>
    <w:rsid w:val="51663D91"/>
    <w:rsid w:val="517565C1"/>
    <w:rsid w:val="517A2F88"/>
    <w:rsid w:val="51885510"/>
    <w:rsid w:val="51B41F3C"/>
    <w:rsid w:val="51C97F80"/>
    <w:rsid w:val="51DD1B89"/>
    <w:rsid w:val="52334156"/>
    <w:rsid w:val="52551410"/>
    <w:rsid w:val="529E4779"/>
    <w:rsid w:val="52B8123E"/>
    <w:rsid w:val="52DC4ED8"/>
    <w:rsid w:val="530C74BB"/>
    <w:rsid w:val="530F69D0"/>
    <w:rsid w:val="53220A8C"/>
    <w:rsid w:val="533960B0"/>
    <w:rsid w:val="534E1882"/>
    <w:rsid w:val="535624E4"/>
    <w:rsid w:val="53831F73"/>
    <w:rsid w:val="5389719C"/>
    <w:rsid w:val="53BF3793"/>
    <w:rsid w:val="53C308F4"/>
    <w:rsid w:val="53D64753"/>
    <w:rsid w:val="53FB4AA6"/>
    <w:rsid w:val="542B3971"/>
    <w:rsid w:val="54322748"/>
    <w:rsid w:val="546B4646"/>
    <w:rsid w:val="546C36F5"/>
    <w:rsid w:val="547D789C"/>
    <w:rsid w:val="5494485A"/>
    <w:rsid w:val="54A2350E"/>
    <w:rsid w:val="54C40510"/>
    <w:rsid w:val="54DD6198"/>
    <w:rsid w:val="55413F79"/>
    <w:rsid w:val="55432F3C"/>
    <w:rsid w:val="554B1254"/>
    <w:rsid w:val="5583217E"/>
    <w:rsid w:val="5593645A"/>
    <w:rsid w:val="560F6C66"/>
    <w:rsid w:val="562C6A5B"/>
    <w:rsid w:val="56621460"/>
    <w:rsid w:val="56721988"/>
    <w:rsid w:val="567422D2"/>
    <w:rsid w:val="567F2067"/>
    <w:rsid w:val="56816A88"/>
    <w:rsid w:val="56912B93"/>
    <w:rsid w:val="56AD3D58"/>
    <w:rsid w:val="56B14831"/>
    <w:rsid w:val="56CC4507"/>
    <w:rsid w:val="56FE09A1"/>
    <w:rsid w:val="570A1702"/>
    <w:rsid w:val="57130DDB"/>
    <w:rsid w:val="572B4C45"/>
    <w:rsid w:val="576E23B2"/>
    <w:rsid w:val="57CA65F8"/>
    <w:rsid w:val="57E0414C"/>
    <w:rsid w:val="57E52089"/>
    <w:rsid w:val="58154F81"/>
    <w:rsid w:val="587E1282"/>
    <w:rsid w:val="58834C2B"/>
    <w:rsid w:val="58A425B8"/>
    <w:rsid w:val="58A95DB1"/>
    <w:rsid w:val="58B20292"/>
    <w:rsid w:val="58F83BBD"/>
    <w:rsid w:val="58F9219A"/>
    <w:rsid w:val="592B7F6F"/>
    <w:rsid w:val="59327BEE"/>
    <w:rsid w:val="594144DF"/>
    <w:rsid w:val="59AA7017"/>
    <w:rsid w:val="59D30FC6"/>
    <w:rsid w:val="59D70720"/>
    <w:rsid w:val="5A47702B"/>
    <w:rsid w:val="5A58095E"/>
    <w:rsid w:val="5A5E0930"/>
    <w:rsid w:val="5A6915C4"/>
    <w:rsid w:val="5A880CB2"/>
    <w:rsid w:val="5A8C7B27"/>
    <w:rsid w:val="5AB73951"/>
    <w:rsid w:val="5AD8703A"/>
    <w:rsid w:val="5AF55262"/>
    <w:rsid w:val="5B062CE0"/>
    <w:rsid w:val="5B274909"/>
    <w:rsid w:val="5B45326D"/>
    <w:rsid w:val="5B4672E2"/>
    <w:rsid w:val="5B46781C"/>
    <w:rsid w:val="5BA7646B"/>
    <w:rsid w:val="5BDE1AFA"/>
    <w:rsid w:val="5BE91766"/>
    <w:rsid w:val="5C317B86"/>
    <w:rsid w:val="5C9F0EC4"/>
    <w:rsid w:val="5CC71FF7"/>
    <w:rsid w:val="5D1A4582"/>
    <w:rsid w:val="5D424C9C"/>
    <w:rsid w:val="5D7719D5"/>
    <w:rsid w:val="5D9A4D1B"/>
    <w:rsid w:val="5DA815B8"/>
    <w:rsid w:val="5DF93F2D"/>
    <w:rsid w:val="5DF95E72"/>
    <w:rsid w:val="5E31497F"/>
    <w:rsid w:val="5E4D2736"/>
    <w:rsid w:val="5E6A6113"/>
    <w:rsid w:val="5E75705E"/>
    <w:rsid w:val="5EB173D4"/>
    <w:rsid w:val="5EB94577"/>
    <w:rsid w:val="5ED2189E"/>
    <w:rsid w:val="5F0209CA"/>
    <w:rsid w:val="5FA0774F"/>
    <w:rsid w:val="5FBB0B89"/>
    <w:rsid w:val="5FDD62E4"/>
    <w:rsid w:val="5FEB2206"/>
    <w:rsid w:val="600275A7"/>
    <w:rsid w:val="600C0AFA"/>
    <w:rsid w:val="600E4A41"/>
    <w:rsid w:val="602E6F59"/>
    <w:rsid w:val="603E7C8E"/>
    <w:rsid w:val="606310D6"/>
    <w:rsid w:val="60DE4093"/>
    <w:rsid w:val="6104215A"/>
    <w:rsid w:val="610E08A2"/>
    <w:rsid w:val="6166050D"/>
    <w:rsid w:val="618F3641"/>
    <w:rsid w:val="619A028A"/>
    <w:rsid w:val="61A04CAB"/>
    <w:rsid w:val="61AE3329"/>
    <w:rsid w:val="61AF095D"/>
    <w:rsid w:val="620279A2"/>
    <w:rsid w:val="620A72BB"/>
    <w:rsid w:val="62472DE4"/>
    <w:rsid w:val="62567581"/>
    <w:rsid w:val="6277512A"/>
    <w:rsid w:val="628E6242"/>
    <w:rsid w:val="63064C31"/>
    <w:rsid w:val="63075B70"/>
    <w:rsid w:val="631113CB"/>
    <w:rsid w:val="63224B7C"/>
    <w:rsid w:val="633A0D83"/>
    <w:rsid w:val="633F4D43"/>
    <w:rsid w:val="633F6483"/>
    <w:rsid w:val="63A243AD"/>
    <w:rsid w:val="63AC4498"/>
    <w:rsid w:val="64404869"/>
    <w:rsid w:val="646621C4"/>
    <w:rsid w:val="649E0A77"/>
    <w:rsid w:val="64D666AA"/>
    <w:rsid w:val="64D75F29"/>
    <w:rsid w:val="653B751C"/>
    <w:rsid w:val="65486730"/>
    <w:rsid w:val="658E56F0"/>
    <w:rsid w:val="65CE4302"/>
    <w:rsid w:val="65E937C2"/>
    <w:rsid w:val="65F500A7"/>
    <w:rsid w:val="661223DF"/>
    <w:rsid w:val="66182CE1"/>
    <w:rsid w:val="664F6964"/>
    <w:rsid w:val="66765872"/>
    <w:rsid w:val="66833198"/>
    <w:rsid w:val="66D2647C"/>
    <w:rsid w:val="66E62D15"/>
    <w:rsid w:val="674B23D6"/>
    <w:rsid w:val="67885481"/>
    <w:rsid w:val="67A8550B"/>
    <w:rsid w:val="67BB3DFE"/>
    <w:rsid w:val="67F74F18"/>
    <w:rsid w:val="68026E8C"/>
    <w:rsid w:val="680A306D"/>
    <w:rsid w:val="684057B3"/>
    <w:rsid w:val="68406425"/>
    <w:rsid w:val="68545195"/>
    <w:rsid w:val="68754CCC"/>
    <w:rsid w:val="68B72B98"/>
    <w:rsid w:val="68BE06D2"/>
    <w:rsid w:val="68F1233D"/>
    <w:rsid w:val="691C281B"/>
    <w:rsid w:val="692E3389"/>
    <w:rsid w:val="695B1C43"/>
    <w:rsid w:val="696F0CCB"/>
    <w:rsid w:val="69A12850"/>
    <w:rsid w:val="69A715F7"/>
    <w:rsid w:val="69AF2C01"/>
    <w:rsid w:val="69B741EB"/>
    <w:rsid w:val="69BF09AD"/>
    <w:rsid w:val="69C52535"/>
    <w:rsid w:val="69F86C81"/>
    <w:rsid w:val="69F91E4C"/>
    <w:rsid w:val="6A053BF4"/>
    <w:rsid w:val="6A086290"/>
    <w:rsid w:val="6A745C1A"/>
    <w:rsid w:val="6A81642E"/>
    <w:rsid w:val="6A854BAA"/>
    <w:rsid w:val="6A8C2D99"/>
    <w:rsid w:val="6A9F3E61"/>
    <w:rsid w:val="6ABA376A"/>
    <w:rsid w:val="6AD15C4F"/>
    <w:rsid w:val="6AF74155"/>
    <w:rsid w:val="6B15282D"/>
    <w:rsid w:val="6B370D9C"/>
    <w:rsid w:val="6B3D058A"/>
    <w:rsid w:val="6B771169"/>
    <w:rsid w:val="6BA93394"/>
    <w:rsid w:val="6BD04175"/>
    <w:rsid w:val="6BD10E4A"/>
    <w:rsid w:val="6C1B6B93"/>
    <w:rsid w:val="6C3D3B72"/>
    <w:rsid w:val="6C48605A"/>
    <w:rsid w:val="6C672F88"/>
    <w:rsid w:val="6C723C47"/>
    <w:rsid w:val="6C8C58A9"/>
    <w:rsid w:val="6CB01A34"/>
    <w:rsid w:val="6CEC442D"/>
    <w:rsid w:val="6CF21078"/>
    <w:rsid w:val="6CF95D76"/>
    <w:rsid w:val="6CFF2357"/>
    <w:rsid w:val="6D0C13C4"/>
    <w:rsid w:val="6D137087"/>
    <w:rsid w:val="6D156B14"/>
    <w:rsid w:val="6D4B1E0A"/>
    <w:rsid w:val="6D575ABA"/>
    <w:rsid w:val="6D5E4D7A"/>
    <w:rsid w:val="6D6C0E2A"/>
    <w:rsid w:val="6D6D0733"/>
    <w:rsid w:val="6D965EA7"/>
    <w:rsid w:val="6D967032"/>
    <w:rsid w:val="6DBE7CF5"/>
    <w:rsid w:val="6DC003C6"/>
    <w:rsid w:val="6DEB2392"/>
    <w:rsid w:val="6DF0456F"/>
    <w:rsid w:val="6E735793"/>
    <w:rsid w:val="6E7705D9"/>
    <w:rsid w:val="6EFC065A"/>
    <w:rsid w:val="6F147652"/>
    <w:rsid w:val="6F505C16"/>
    <w:rsid w:val="6F6F6285"/>
    <w:rsid w:val="6FDB4045"/>
    <w:rsid w:val="6FFA164E"/>
    <w:rsid w:val="703F45D4"/>
    <w:rsid w:val="70442A5A"/>
    <w:rsid w:val="704F37A6"/>
    <w:rsid w:val="710850F1"/>
    <w:rsid w:val="7175419A"/>
    <w:rsid w:val="71832DD1"/>
    <w:rsid w:val="71E93961"/>
    <w:rsid w:val="71ED1E60"/>
    <w:rsid w:val="720F6FAF"/>
    <w:rsid w:val="721269F3"/>
    <w:rsid w:val="721D03A0"/>
    <w:rsid w:val="722D6679"/>
    <w:rsid w:val="725C6D25"/>
    <w:rsid w:val="72E41979"/>
    <w:rsid w:val="72F773E8"/>
    <w:rsid w:val="7312206A"/>
    <w:rsid w:val="73122436"/>
    <w:rsid w:val="73562500"/>
    <w:rsid w:val="735A7C31"/>
    <w:rsid w:val="73672B9C"/>
    <w:rsid w:val="736D3445"/>
    <w:rsid w:val="739E6CC4"/>
    <w:rsid w:val="73A76F64"/>
    <w:rsid w:val="73BA0012"/>
    <w:rsid w:val="73CF3691"/>
    <w:rsid w:val="74266523"/>
    <w:rsid w:val="74325BC5"/>
    <w:rsid w:val="74795BDB"/>
    <w:rsid w:val="749D051A"/>
    <w:rsid w:val="74CA7D97"/>
    <w:rsid w:val="74E220A3"/>
    <w:rsid w:val="74F72152"/>
    <w:rsid w:val="75473457"/>
    <w:rsid w:val="75DC1E27"/>
    <w:rsid w:val="75E60538"/>
    <w:rsid w:val="76030A6F"/>
    <w:rsid w:val="769963A2"/>
    <w:rsid w:val="76DB48A7"/>
    <w:rsid w:val="76E11454"/>
    <w:rsid w:val="76F53414"/>
    <w:rsid w:val="76FC5A8F"/>
    <w:rsid w:val="770C1B24"/>
    <w:rsid w:val="77243EB3"/>
    <w:rsid w:val="773C0B17"/>
    <w:rsid w:val="779D4BFE"/>
    <w:rsid w:val="77A35060"/>
    <w:rsid w:val="77AF6E95"/>
    <w:rsid w:val="77E43CB3"/>
    <w:rsid w:val="78773B7A"/>
    <w:rsid w:val="787E735B"/>
    <w:rsid w:val="78992742"/>
    <w:rsid w:val="78B260EE"/>
    <w:rsid w:val="78B450E6"/>
    <w:rsid w:val="78D25AC7"/>
    <w:rsid w:val="79252B17"/>
    <w:rsid w:val="7953145B"/>
    <w:rsid w:val="797637F3"/>
    <w:rsid w:val="797A667D"/>
    <w:rsid w:val="797E5ECA"/>
    <w:rsid w:val="7985562D"/>
    <w:rsid w:val="79950679"/>
    <w:rsid w:val="79A13D8C"/>
    <w:rsid w:val="79BB287D"/>
    <w:rsid w:val="79E1494E"/>
    <w:rsid w:val="7A0F5F56"/>
    <w:rsid w:val="7A2A5100"/>
    <w:rsid w:val="7A3B2F76"/>
    <w:rsid w:val="7A525542"/>
    <w:rsid w:val="7A7D6526"/>
    <w:rsid w:val="7A8D5991"/>
    <w:rsid w:val="7AEE21ED"/>
    <w:rsid w:val="7B2A49F2"/>
    <w:rsid w:val="7B351AFA"/>
    <w:rsid w:val="7B386965"/>
    <w:rsid w:val="7B5514A5"/>
    <w:rsid w:val="7B7125C5"/>
    <w:rsid w:val="7BA4177C"/>
    <w:rsid w:val="7BB32F44"/>
    <w:rsid w:val="7BE232EC"/>
    <w:rsid w:val="7BEB1AB4"/>
    <w:rsid w:val="7C0B5CB2"/>
    <w:rsid w:val="7C176842"/>
    <w:rsid w:val="7C2E3A33"/>
    <w:rsid w:val="7C3A223B"/>
    <w:rsid w:val="7C470AAF"/>
    <w:rsid w:val="7CA00A98"/>
    <w:rsid w:val="7CA61B3A"/>
    <w:rsid w:val="7CBD673C"/>
    <w:rsid w:val="7CCA328D"/>
    <w:rsid w:val="7D095F67"/>
    <w:rsid w:val="7D7045B0"/>
    <w:rsid w:val="7DB87774"/>
    <w:rsid w:val="7DF97BF3"/>
    <w:rsid w:val="7E3314F0"/>
    <w:rsid w:val="7E64217A"/>
    <w:rsid w:val="7E6C4725"/>
    <w:rsid w:val="7E8728F8"/>
    <w:rsid w:val="7E960D5A"/>
    <w:rsid w:val="7E9C6B52"/>
    <w:rsid w:val="7EB968B1"/>
    <w:rsid w:val="7EC16AFC"/>
    <w:rsid w:val="7F200D5C"/>
    <w:rsid w:val="7F2B5ACB"/>
    <w:rsid w:val="7F4225EF"/>
    <w:rsid w:val="7F620ACB"/>
    <w:rsid w:val="7F7F6C7A"/>
    <w:rsid w:val="7FA73F44"/>
    <w:rsid w:val="7FE009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qFormat="1" w:unhideWhenUsed="0" w:uiPriority="99" w:semiHidden="0"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qFormat="1" w:uiPriority="0"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37"/>
    <w:qFormat/>
    <w:uiPriority w:val="0"/>
    <w:rPr>
      <w:rFonts w:ascii="Times New Roman" w:hAnsi="Times New Roman" w:eastAsia="宋体" w:cs="Times New Roman"/>
      <w:sz w:val="24"/>
      <w:szCs w:val="24"/>
      <w:lang w:val="en-US" w:eastAsia="zh-CN" w:bidi="ar-SA"/>
    </w:rPr>
  </w:style>
  <w:style w:type="paragraph" w:styleId="2">
    <w:name w:val="heading 1"/>
    <w:basedOn w:val="1"/>
    <w:next w:val="1"/>
    <w:link w:val="45"/>
    <w:qFormat/>
    <w:uiPriority w:val="99"/>
    <w:pPr>
      <w:keepNext/>
      <w:keepLines/>
      <w:jc w:val="center"/>
      <w:outlineLvl w:val="0"/>
    </w:pPr>
    <w:rPr>
      <w:rFonts w:eastAsia="方正小标宋简体"/>
      <w:bCs/>
      <w:kern w:val="44"/>
      <w:sz w:val="32"/>
      <w:szCs w:val="44"/>
    </w:rPr>
  </w:style>
  <w:style w:type="paragraph" w:styleId="3">
    <w:name w:val="heading 2"/>
    <w:basedOn w:val="1"/>
    <w:next w:val="1"/>
    <w:link w:val="46"/>
    <w:qFormat/>
    <w:uiPriority w:val="9"/>
    <w:pPr>
      <w:keepNext/>
      <w:keepLines/>
      <w:jc w:val="center"/>
      <w:outlineLvl w:val="1"/>
    </w:pPr>
    <w:rPr>
      <w:rFonts w:ascii="Cambria" w:hAnsi="Cambria" w:eastAsia="方正小标宋简体"/>
      <w:bCs/>
      <w:sz w:val="28"/>
      <w:szCs w:val="32"/>
    </w:rPr>
  </w:style>
  <w:style w:type="paragraph" w:styleId="4">
    <w:name w:val="heading 3"/>
    <w:basedOn w:val="1"/>
    <w:next w:val="1"/>
    <w:link w:val="47"/>
    <w:qFormat/>
    <w:uiPriority w:val="9"/>
    <w:pPr>
      <w:keepNext/>
      <w:keepLines/>
      <w:jc w:val="center"/>
      <w:outlineLvl w:val="2"/>
    </w:pPr>
    <w:rPr>
      <w:rFonts w:eastAsia="黑体"/>
      <w:bCs/>
      <w:szCs w:val="32"/>
    </w:rPr>
  </w:style>
  <w:style w:type="paragraph" w:styleId="5">
    <w:name w:val="heading 4"/>
    <w:basedOn w:val="1"/>
    <w:next w:val="1"/>
    <w:link w:val="48"/>
    <w:qFormat/>
    <w:uiPriority w:val="0"/>
    <w:pPr>
      <w:keepNext/>
      <w:keepLines/>
      <w:spacing w:before="280" w:after="290" w:line="376" w:lineRule="auto"/>
      <w:outlineLvl w:val="3"/>
    </w:pPr>
    <w:rPr>
      <w:rFonts w:ascii="Calibri Light" w:hAnsi="Calibri Light"/>
      <w:b/>
      <w:bCs/>
      <w:kern w:val="2"/>
      <w:sz w:val="28"/>
      <w:szCs w:val="28"/>
    </w:rPr>
  </w:style>
  <w:style w:type="paragraph" w:styleId="6">
    <w:name w:val="heading 5"/>
    <w:basedOn w:val="1"/>
    <w:next w:val="1"/>
    <w:link w:val="49"/>
    <w:qFormat/>
    <w:uiPriority w:val="0"/>
    <w:pPr>
      <w:keepNext/>
      <w:keepLines/>
      <w:spacing w:before="280" w:after="290" w:line="376" w:lineRule="auto"/>
      <w:outlineLvl w:val="4"/>
    </w:pPr>
    <w:rPr>
      <w:b/>
      <w:bCs/>
      <w:kern w:val="2"/>
      <w:sz w:val="28"/>
      <w:szCs w:val="28"/>
    </w:rPr>
  </w:style>
  <w:style w:type="paragraph" w:styleId="7">
    <w:name w:val="heading 6"/>
    <w:basedOn w:val="1"/>
    <w:next w:val="1"/>
    <w:link w:val="50"/>
    <w:qFormat/>
    <w:uiPriority w:val="0"/>
    <w:pPr>
      <w:keepNext/>
      <w:keepLines/>
      <w:spacing w:before="240" w:after="64" w:line="320" w:lineRule="auto"/>
      <w:outlineLvl w:val="5"/>
    </w:pPr>
    <w:rPr>
      <w:rFonts w:ascii="Calibri Light" w:hAnsi="Calibri Light"/>
      <w:b/>
      <w:bCs/>
      <w:kern w:val="2"/>
    </w:rPr>
  </w:style>
  <w:style w:type="paragraph" w:styleId="8">
    <w:name w:val="heading 7"/>
    <w:basedOn w:val="1"/>
    <w:next w:val="1"/>
    <w:link w:val="51"/>
    <w:qFormat/>
    <w:uiPriority w:val="0"/>
    <w:pPr>
      <w:keepNext/>
      <w:keepLines/>
      <w:tabs>
        <w:tab w:val="left" w:pos="432"/>
      </w:tabs>
      <w:spacing w:before="240" w:after="64" w:line="320" w:lineRule="auto"/>
      <w:ind w:left="1296" w:hanging="1296"/>
      <w:outlineLvl w:val="6"/>
    </w:pPr>
    <w:rPr>
      <w:rFonts w:ascii="Calibri" w:hAnsi="Calibri"/>
      <w:b/>
      <w:bCs/>
      <w:kern w:val="2"/>
      <w:lang w:val="zh-CN"/>
    </w:rPr>
  </w:style>
  <w:style w:type="paragraph" w:styleId="9">
    <w:name w:val="heading 8"/>
    <w:basedOn w:val="1"/>
    <w:next w:val="1"/>
    <w:link w:val="52"/>
    <w:qFormat/>
    <w:uiPriority w:val="0"/>
    <w:pPr>
      <w:keepNext/>
      <w:keepLines/>
      <w:tabs>
        <w:tab w:val="left" w:pos="432"/>
      </w:tabs>
      <w:spacing w:before="240" w:after="64" w:line="320" w:lineRule="auto"/>
      <w:ind w:left="1440" w:hanging="1440"/>
      <w:outlineLvl w:val="7"/>
    </w:pPr>
    <w:rPr>
      <w:rFonts w:ascii="Arial" w:hAnsi="Arial" w:eastAsia="黑体"/>
      <w:kern w:val="2"/>
      <w:lang w:val="zh-CN"/>
    </w:rPr>
  </w:style>
  <w:style w:type="paragraph" w:styleId="10">
    <w:name w:val="heading 9"/>
    <w:basedOn w:val="1"/>
    <w:next w:val="1"/>
    <w:link w:val="53"/>
    <w:qFormat/>
    <w:uiPriority w:val="0"/>
    <w:pPr>
      <w:keepNext/>
      <w:keepLines/>
      <w:tabs>
        <w:tab w:val="left" w:pos="432"/>
      </w:tabs>
      <w:spacing w:before="240" w:after="64" w:line="320" w:lineRule="auto"/>
      <w:ind w:left="1584" w:hanging="1584"/>
      <w:outlineLvl w:val="8"/>
    </w:pPr>
    <w:rPr>
      <w:rFonts w:ascii="Arial" w:hAnsi="Arial" w:eastAsia="黑体"/>
      <w:kern w:val="2"/>
      <w:sz w:val="21"/>
      <w:szCs w:val="21"/>
      <w:lang w:val="zh-CN"/>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table of authorities"/>
    <w:basedOn w:val="1"/>
    <w:next w:val="1"/>
    <w:unhideWhenUsed/>
    <w:qFormat/>
    <w:uiPriority w:val="99"/>
    <w:pPr>
      <w:widowControl w:val="0"/>
      <w:spacing w:before="100" w:beforeAutospacing="1" w:after="100" w:afterAutospacing="1" w:line="360" w:lineRule="auto"/>
      <w:ind w:left="420" w:leftChars="200"/>
      <w:jc w:val="both"/>
    </w:pPr>
    <w:rPr>
      <w:kern w:val="2"/>
      <w:sz w:val="21"/>
    </w:rPr>
  </w:style>
  <w:style w:type="paragraph" w:styleId="12">
    <w:name w:val="Normal Indent"/>
    <w:basedOn w:val="1"/>
    <w:link w:val="57"/>
    <w:qFormat/>
    <w:uiPriority w:val="99"/>
    <w:pPr>
      <w:ind w:firstLine="420" w:firstLineChars="200"/>
    </w:pPr>
    <w:rPr>
      <w:rFonts w:asciiTheme="minorHAnsi" w:hAnsiTheme="minorHAnsi" w:cstheme="minorBidi"/>
      <w:kern w:val="2"/>
      <w:sz w:val="21"/>
    </w:rPr>
  </w:style>
  <w:style w:type="paragraph" w:styleId="13">
    <w:name w:val="Document Map"/>
    <w:basedOn w:val="1"/>
    <w:link w:val="67"/>
    <w:qFormat/>
    <w:uiPriority w:val="99"/>
    <w:rPr>
      <w:rFonts w:ascii="宋体" w:hAnsiTheme="minorHAnsi" w:cstheme="minorBidi"/>
      <w:kern w:val="2"/>
      <w:sz w:val="18"/>
      <w:szCs w:val="18"/>
    </w:rPr>
  </w:style>
  <w:style w:type="paragraph" w:styleId="14">
    <w:name w:val="annotation text"/>
    <w:basedOn w:val="1"/>
    <w:link w:val="64"/>
    <w:qFormat/>
    <w:uiPriority w:val="0"/>
    <w:rPr>
      <w:rFonts w:ascii="Calibri" w:hAnsi="Calibri" w:cstheme="minorBidi"/>
      <w:kern w:val="2"/>
      <w:sz w:val="21"/>
      <w:szCs w:val="22"/>
    </w:rPr>
  </w:style>
  <w:style w:type="paragraph" w:styleId="15">
    <w:name w:val="Body Text"/>
    <w:basedOn w:val="1"/>
    <w:next w:val="16"/>
    <w:link w:val="56"/>
    <w:qFormat/>
    <w:uiPriority w:val="99"/>
    <w:pPr>
      <w:spacing w:after="120"/>
    </w:pPr>
    <w:rPr>
      <w:rFonts w:ascii="Calibri" w:hAnsi="Calibri" w:cstheme="minorBidi"/>
      <w:kern w:val="2"/>
      <w:sz w:val="21"/>
      <w:szCs w:val="22"/>
    </w:rPr>
  </w:style>
  <w:style w:type="paragraph" w:customStyle="1" w:styleId="16">
    <w:name w:val="目录 53"/>
    <w:next w:val="1"/>
    <w:qFormat/>
    <w:uiPriority w:val="0"/>
    <w:pPr>
      <w:wordWrap w:val="0"/>
      <w:ind w:left="1275"/>
      <w:jc w:val="both"/>
    </w:pPr>
    <w:rPr>
      <w:rFonts w:ascii="Calibri" w:hAnsi="Calibri" w:eastAsia="宋体" w:cs="Times New Roman"/>
      <w:lang w:val="en-US" w:eastAsia="zh-CN" w:bidi="ar-SA"/>
    </w:rPr>
  </w:style>
  <w:style w:type="paragraph" w:styleId="17">
    <w:name w:val="Body Text Indent"/>
    <w:basedOn w:val="1"/>
    <w:link w:val="70"/>
    <w:qFormat/>
    <w:uiPriority w:val="99"/>
    <w:pPr>
      <w:spacing w:line="380" w:lineRule="exact"/>
      <w:ind w:firstLine="480"/>
    </w:pPr>
    <w:rPr>
      <w:rFonts w:eastAsia="方正书宋简体" w:asciiTheme="minorHAnsi" w:hAnsiTheme="minorHAnsi" w:cstheme="minorBidi"/>
      <w:kern w:val="2"/>
      <w:szCs w:val="22"/>
    </w:rPr>
  </w:style>
  <w:style w:type="paragraph" w:styleId="18">
    <w:name w:val="toc 3"/>
    <w:basedOn w:val="1"/>
    <w:next w:val="1"/>
    <w:qFormat/>
    <w:uiPriority w:val="39"/>
    <w:pPr>
      <w:tabs>
        <w:tab w:val="right" w:leader="dot" w:pos="9061"/>
      </w:tabs>
      <w:spacing w:line="300" w:lineRule="exact"/>
      <w:ind w:left="442"/>
    </w:pPr>
    <w:rPr>
      <w:rFonts w:ascii="Calibri" w:hAnsi="Calibri"/>
    </w:rPr>
  </w:style>
  <w:style w:type="paragraph" w:styleId="19">
    <w:name w:val="Plain Text"/>
    <w:basedOn w:val="1"/>
    <w:link w:val="61"/>
    <w:qFormat/>
    <w:uiPriority w:val="0"/>
    <w:rPr>
      <w:rFonts w:ascii="宋体" w:hAnsi="Courier New" w:cstheme="minorBidi"/>
      <w:kern w:val="2"/>
      <w:sz w:val="21"/>
      <w:szCs w:val="22"/>
    </w:rPr>
  </w:style>
  <w:style w:type="paragraph" w:styleId="20">
    <w:name w:val="Date"/>
    <w:basedOn w:val="1"/>
    <w:next w:val="1"/>
    <w:link w:val="55"/>
    <w:qFormat/>
    <w:uiPriority w:val="99"/>
    <w:pPr>
      <w:ind w:left="100" w:leftChars="2500"/>
    </w:pPr>
    <w:rPr>
      <w:rFonts w:ascii="Calibri" w:hAnsi="Calibri" w:cstheme="minorBidi"/>
      <w:kern w:val="2"/>
      <w:sz w:val="21"/>
      <w:szCs w:val="22"/>
    </w:rPr>
  </w:style>
  <w:style w:type="paragraph" w:styleId="21">
    <w:name w:val="Body Text Indent 2"/>
    <w:basedOn w:val="1"/>
    <w:link w:val="71"/>
    <w:unhideWhenUsed/>
    <w:qFormat/>
    <w:uiPriority w:val="0"/>
    <w:pPr>
      <w:spacing w:after="120" w:line="480" w:lineRule="auto"/>
      <w:ind w:left="420" w:leftChars="200"/>
    </w:pPr>
    <w:rPr>
      <w:rFonts w:asciiTheme="minorHAnsi" w:hAnsiTheme="minorHAnsi" w:cstheme="minorBidi"/>
      <w:kern w:val="2"/>
      <w:sz w:val="21"/>
    </w:rPr>
  </w:style>
  <w:style w:type="paragraph" w:styleId="22">
    <w:name w:val="Balloon Text"/>
    <w:basedOn w:val="1"/>
    <w:link w:val="63"/>
    <w:qFormat/>
    <w:uiPriority w:val="99"/>
    <w:rPr>
      <w:rFonts w:ascii="Calibri" w:hAnsi="Calibri" w:cstheme="minorBidi"/>
      <w:kern w:val="2"/>
      <w:sz w:val="18"/>
      <w:szCs w:val="18"/>
    </w:rPr>
  </w:style>
  <w:style w:type="paragraph" w:styleId="23">
    <w:name w:val="footer"/>
    <w:basedOn w:val="1"/>
    <w:link w:val="62"/>
    <w:qFormat/>
    <w:uiPriority w:val="99"/>
    <w:pPr>
      <w:tabs>
        <w:tab w:val="center" w:pos="4153"/>
        <w:tab w:val="right" w:pos="8306"/>
      </w:tabs>
      <w:snapToGrid w:val="0"/>
    </w:pPr>
    <w:rPr>
      <w:rFonts w:asciiTheme="minorHAnsi" w:hAnsiTheme="minorHAnsi" w:cstheme="minorBidi"/>
      <w:kern w:val="2"/>
      <w:sz w:val="18"/>
      <w:szCs w:val="18"/>
    </w:rPr>
  </w:style>
  <w:style w:type="paragraph" w:styleId="24">
    <w:name w:val="header"/>
    <w:basedOn w:val="1"/>
    <w:link w:val="65"/>
    <w:qFormat/>
    <w:uiPriority w:val="99"/>
    <w:pPr>
      <w:pBdr>
        <w:bottom w:val="single" w:color="auto" w:sz="6" w:space="1"/>
      </w:pBdr>
      <w:tabs>
        <w:tab w:val="center" w:pos="4153"/>
        <w:tab w:val="right" w:pos="8306"/>
      </w:tabs>
      <w:snapToGrid w:val="0"/>
      <w:jc w:val="center"/>
    </w:pPr>
    <w:rPr>
      <w:rFonts w:asciiTheme="minorHAnsi" w:hAnsiTheme="minorHAnsi" w:cstheme="minorBidi"/>
      <w:kern w:val="2"/>
      <w:sz w:val="18"/>
      <w:szCs w:val="18"/>
    </w:rPr>
  </w:style>
  <w:style w:type="paragraph" w:styleId="25">
    <w:name w:val="toc 1"/>
    <w:basedOn w:val="1"/>
    <w:next w:val="1"/>
    <w:qFormat/>
    <w:uiPriority w:val="39"/>
    <w:pPr>
      <w:tabs>
        <w:tab w:val="right" w:leader="dot" w:pos="9061"/>
      </w:tabs>
      <w:spacing w:beforeLines="100" w:afterLines="50"/>
      <w:jc w:val="center"/>
    </w:pPr>
    <w:rPr>
      <w:rFonts w:ascii="黑体" w:hAnsi="黑体" w:eastAsia="黑体"/>
      <w:sz w:val="30"/>
      <w:szCs w:val="30"/>
    </w:rPr>
  </w:style>
  <w:style w:type="paragraph" w:styleId="26">
    <w:name w:val="Subtitle"/>
    <w:basedOn w:val="1"/>
    <w:next w:val="1"/>
    <w:link w:val="150"/>
    <w:qFormat/>
    <w:uiPriority w:val="99"/>
    <w:pPr>
      <w:spacing w:before="240" w:after="60" w:line="312" w:lineRule="auto"/>
      <w:jc w:val="center"/>
      <w:outlineLvl w:val="1"/>
    </w:pPr>
    <w:rPr>
      <w:rFonts w:ascii="Arial" w:hAnsi="Arial"/>
      <w:b/>
      <w:bCs/>
      <w:kern w:val="28"/>
      <w:sz w:val="32"/>
      <w:szCs w:val="32"/>
    </w:rPr>
  </w:style>
  <w:style w:type="paragraph" w:styleId="27">
    <w:name w:val="Body Text Indent 3"/>
    <w:basedOn w:val="1"/>
    <w:link w:val="73"/>
    <w:qFormat/>
    <w:uiPriority w:val="99"/>
    <w:pPr>
      <w:spacing w:after="120"/>
      <w:ind w:left="420" w:leftChars="200"/>
    </w:pPr>
    <w:rPr>
      <w:rFonts w:asciiTheme="minorHAnsi" w:hAnsiTheme="minorHAnsi" w:cstheme="minorBidi"/>
      <w:kern w:val="2"/>
      <w:sz w:val="16"/>
      <w:szCs w:val="16"/>
    </w:rPr>
  </w:style>
  <w:style w:type="paragraph" w:styleId="28">
    <w:name w:val="toc 2"/>
    <w:basedOn w:val="1"/>
    <w:next w:val="1"/>
    <w:qFormat/>
    <w:uiPriority w:val="39"/>
    <w:pPr>
      <w:tabs>
        <w:tab w:val="right" w:leader="dot" w:pos="9061"/>
      </w:tabs>
      <w:spacing w:beforeLines="50" w:afterLines="50" w:line="300" w:lineRule="exact"/>
      <w:ind w:left="221"/>
    </w:pPr>
    <w:rPr>
      <w:rFonts w:ascii="黑体" w:hAnsi="黑体" w:eastAsia="黑体"/>
    </w:rPr>
  </w:style>
  <w:style w:type="paragraph" w:styleId="29">
    <w:name w:val="HTML Preformatted"/>
    <w:basedOn w:val="1"/>
    <w:link w:val="123"/>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rPr>
  </w:style>
  <w:style w:type="paragraph" w:styleId="30">
    <w:name w:val="Normal (Web)"/>
    <w:basedOn w:val="1"/>
    <w:qFormat/>
    <w:uiPriority w:val="0"/>
    <w:rPr>
      <w:rFonts w:hint="eastAsia" w:ascii="宋体" w:hAnsi="宋体"/>
      <w:szCs w:val="20"/>
    </w:rPr>
  </w:style>
  <w:style w:type="paragraph" w:styleId="31">
    <w:name w:val="Title"/>
    <w:basedOn w:val="1"/>
    <w:next w:val="1"/>
    <w:link w:val="54"/>
    <w:qFormat/>
    <w:uiPriority w:val="99"/>
    <w:pPr>
      <w:spacing w:before="240" w:after="60"/>
      <w:jc w:val="center"/>
      <w:outlineLvl w:val="0"/>
    </w:pPr>
    <w:rPr>
      <w:rFonts w:ascii="Cambria" w:hAnsi="Cambria" w:cstheme="minorBidi"/>
      <w:b/>
      <w:bCs/>
      <w:kern w:val="2"/>
      <w:sz w:val="32"/>
      <w:szCs w:val="32"/>
    </w:rPr>
  </w:style>
  <w:style w:type="paragraph" w:styleId="32">
    <w:name w:val="annotation subject"/>
    <w:basedOn w:val="14"/>
    <w:next w:val="14"/>
    <w:link w:val="72"/>
    <w:qFormat/>
    <w:uiPriority w:val="99"/>
    <w:rPr>
      <w:rFonts w:asciiTheme="minorHAnsi" w:hAnsiTheme="minorHAnsi"/>
      <w:b/>
      <w:bCs/>
      <w:szCs w:val="24"/>
    </w:rPr>
  </w:style>
  <w:style w:type="paragraph" w:styleId="33">
    <w:name w:val="Body Text First Indent"/>
    <w:basedOn w:val="15"/>
    <w:unhideWhenUsed/>
    <w:qFormat/>
    <w:uiPriority w:val="99"/>
    <w:pPr>
      <w:ind w:firstLine="420" w:firstLineChars="100"/>
    </w:pPr>
    <w:rPr>
      <w:rFonts w:cs="Times New Roman"/>
      <w:kern w:val="0"/>
      <w:sz w:val="24"/>
      <w:szCs w:val="24"/>
    </w:rPr>
  </w:style>
  <w:style w:type="table" w:styleId="35">
    <w:name w:val="Table Grid"/>
    <w:basedOn w:val="3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basedOn w:val="36"/>
    <w:link w:val="1"/>
    <w:qFormat/>
    <w:uiPriority w:val="99"/>
    <w:rPr>
      <w:rFonts w:ascii="Times New Roman" w:hAnsi="Times New Roman" w:eastAsia="宋体" w:cs="Times New Roman"/>
      <w:sz w:val="24"/>
      <w:szCs w:val="24"/>
      <w:lang w:val="en-US" w:eastAsia="zh-CN" w:bidi="ar-SA"/>
    </w:rPr>
  </w:style>
  <w:style w:type="character" w:styleId="38">
    <w:name w:val="page number"/>
    <w:basedOn w:val="36"/>
    <w:qFormat/>
    <w:uiPriority w:val="99"/>
    <w:rPr>
      <w:rFonts w:ascii="Calibri" w:hAnsi="Calibri" w:eastAsia="宋体" w:cs="Times New Roman"/>
    </w:rPr>
  </w:style>
  <w:style w:type="character" w:styleId="39">
    <w:name w:val="FollowedHyperlink"/>
    <w:qFormat/>
    <w:uiPriority w:val="99"/>
    <w:rPr>
      <w:color w:val="954F72"/>
      <w:u w:val="single"/>
    </w:rPr>
  </w:style>
  <w:style w:type="character" w:styleId="40">
    <w:name w:val="Emphasis"/>
    <w:qFormat/>
    <w:uiPriority w:val="20"/>
    <w:rPr>
      <w:i/>
      <w:iCs/>
    </w:rPr>
  </w:style>
  <w:style w:type="character" w:styleId="41">
    <w:name w:val="Hyperlink"/>
    <w:qFormat/>
    <w:uiPriority w:val="99"/>
    <w:rPr>
      <w:rFonts w:ascii="Calibri" w:hAnsi="Calibri" w:eastAsia="宋体" w:cs="Times New Roman"/>
      <w:color w:val="0000FF"/>
      <w:u w:val="single"/>
    </w:rPr>
  </w:style>
  <w:style w:type="character" w:styleId="42">
    <w:name w:val="annotation reference"/>
    <w:qFormat/>
    <w:uiPriority w:val="99"/>
    <w:rPr>
      <w:sz w:val="21"/>
      <w:szCs w:val="21"/>
    </w:rPr>
  </w:style>
  <w:style w:type="paragraph" w:customStyle="1" w:styleId="43">
    <w:name w:val="样式 正文缩进 + 首行缩进:  2.56 字符 段前: 0.6 行 段后: 0.6 行"/>
    <w:basedOn w:val="12"/>
    <w:qFormat/>
    <w:uiPriority w:val="0"/>
    <w:pPr>
      <w:spacing w:beforeLines="60" w:afterLines="60"/>
    </w:pPr>
    <w:rPr>
      <w:rFonts w:ascii="微软简仿宋" w:hAnsi="宋体" w:cs="宋体"/>
      <w:snapToGrid w:val="0"/>
    </w:rPr>
  </w:style>
  <w:style w:type="paragraph" w:customStyle="1" w:styleId="44">
    <w:name w:val="_Style 2"/>
    <w:next w:val="1"/>
    <w:qFormat/>
    <w:uiPriority w:val="0"/>
    <w:pPr>
      <w:wordWrap w:val="0"/>
    </w:pPr>
    <w:rPr>
      <w:rFonts w:ascii="Times New Roman" w:hAnsi="Times New Roman" w:eastAsia="Times New Roman" w:cs="Times New Roman"/>
      <w:sz w:val="32"/>
      <w:szCs w:val="22"/>
      <w:lang w:val="en-US" w:eastAsia="zh-CN" w:bidi="ar-SA"/>
    </w:rPr>
  </w:style>
  <w:style w:type="character" w:customStyle="1" w:styleId="45">
    <w:name w:val="标题 1 Char"/>
    <w:basedOn w:val="36"/>
    <w:link w:val="2"/>
    <w:qFormat/>
    <w:uiPriority w:val="99"/>
    <w:rPr>
      <w:rFonts w:ascii="Times New Roman" w:hAnsi="Times New Roman" w:eastAsia="方正小标宋简体" w:cs="Times New Roman"/>
      <w:bCs/>
      <w:kern w:val="44"/>
      <w:sz w:val="32"/>
      <w:szCs w:val="44"/>
    </w:rPr>
  </w:style>
  <w:style w:type="character" w:customStyle="1" w:styleId="46">
    <w:name w:val="标题 2 Char"/>
    <w:basedOn w:val="36"/>
    <w:link w:val="3"/>
    <w:qFormat/>
    <w:uiPriority w:val="9"/>
    <w:rPr>
      <w:rFonts w:ascii="Cambria" w:hAnsi="Cambria" w:eastAsia="方正小标宋简体" w:cs="Times New Roman"/>
      <w:bCs/>
      <w:kern w:val="0"/>
      <w:sz w:val="28"/>
      <w:szCs w:val="32"/>
    </w:rPr>
  </w:style>
  <w:style w:type="character" w:customStyle="1" w:styleId="47">
    <w:name w:val="标题 3 Char"/>
    <w:basedOn w:val="36"/>
    <w:link w:val="4"/>
    <w:qFormat/>
    <w:uiPriority w:val="9"/>
    <w:rPr>
      <w:rFonts w:ascii="Times New Roman" w:hAnsi="Times New Roman" w:eastAsia="黑体" w:cs="Times New Roman"/>
      <w:bCs/>
      <w:kern w:val="0"/>
      <w:sz w:val="24"/>
      <w:szCs w:val="32"/>
    </w:rPr>
  </w:style>
  <w:style w:type="character" w:customStyle="1" w:styleId="48">
    <w:name w:val="标题 4 Char"/>
    <w:basedOn w:val="36"/>
    <w:link w:val="5"/>
    <w:qFormat/>
    <w:uiPriority w:val="0"/>
    <w:rPr>
      <w:rFonts w:ascii="Calibri Light" w:hAnsi="Calibri Light" w:eastAsia="宋体" w:cs="Times New Roman"/>
      <w:b/>
      <w:bCs/>
      <w:sz w:val="28"/>
      <w:szCs w:val="28"/>
    </w:rPr>
  </w:style>
  <w:style w:type="character" w:customStyle="1" w:styleId="49">
    <w:name w:val="标题 5 Char"/>
    <w:basedOn w:val="36"/>
    <w:link w:val="6"/>
    <w:qFormat/>
    <w:uiPriority w:val="0"/>
    <w:rPr>
      <w:rFonts w:ascii="Times New Roman" w:hAnsi="Times New Roman" w:eastAsia="宋体" w:cs="Times New Roman"/>
      <w:b/>
      <w:bCs/>
      <w:sz w:val="28"/>
      <w:szCs w:val="28"/>
    </w:rPr>
  </w:style>
  <w:style w:type="character" w:customStyle="1" w:styleId="50">
    <w:name w:val="标题 6 Char"/>
    <w:basedOn w:val="36"/>
    <w:link w:val="7"/>
    <w:qFormat/>
    <w:uiPriority w:val="0"/>
    <w:rPr>
      <w:rFonts w:ascii="Calibri Light" w:hAnsi="Calibri Light" w:eastAsia="宋体" w:cs="Times New Roman"/>
      <w:b/>
      <w:bCs/>
      <w:sz w:val="24"/>
      <w:szCs w:val="24"/>
    </w:rPr>
  </w:style>
  <w:style w:type="character" w:customStyle="1" w:styleId="51">
    <w:name w:val="标题 7 Char"/>
    <w:basedOn w:val="36"/>
    <w:link w:val="8"/>
    <w:qFormat/>
    <w:uiPriority w:val="0"/>
    <w:rPr>
      <w:rFonts w:ascii="Calibri" w:hAnsi="Calibri" w:eastAsia="宋体" w:cs="Times New Roman"/>
      <w:b/>
      <w:bCs/>
      <w:sz w:val="24"/>
      <w:szCs w:val="24"/>
      <w:lang w:val="zh-CN" w:eastAsia="zh-CN"/>
    </w:rPr>
  </w:style>
  <w:style w:type="character" w:customStyle="1" w:styleId="52">
    <w:name w:val="标题 8 Char"/>
    <w:basedOn w:val="36"/>
    <w:link w:val="9"/>
    <w:qFormat/>
    <w:uiPriority w:val="0"/>
    <w:rPr>
      <w:rFonts w:ascii="Arial" w:hAnsi="Arial" w:eastAsia="黑体" w:cs="Times New Roman"/>
      <w:sz w:val="24"/>
      <w:szCs w:val="24"/>
      <w:lang w:val="zh-CN" w:eastAsia="zh-CN"/>
    </w:rPr>
  </w:style>
  <w:style w:type="character" w:customStyle="1" w:styleId="53">
    <w:name w:val="标题 9 Char"/>
    <w:basedOn w:val="36"/>
    <w:link w:val="10"/>
    <w:qFormat/>
    <w:uiPriority w:val="0"/>
    <w:rPr>
      <w:rFonts w:ascii="Arial" w:hAnsi="Arial" w:eastAsia="黑体" w:cs="Times New Roman"/>
      <w:szCs w:val="21"/>
      <w:lang w:val="zh-CN" w:eastAsia="zh-CN"/>
    </w:rPr>
  </w:style>
  <w:style w:type="character" w:customStyle="1" w:styleId="54">
    <w:name w:val="标题 Char"/>
    <w:link w:val="31"/>
    <w:qFormat/>
    <w:uiPriority w:val="99"/>
    <w:rPr>
      <w:rFonts w:ascii="Cambria" w:hAnsi="Cambria" w:eastAsia="宋体"/>
      <w:b/>
      <w:bCs/>
      <w:sz w:val="32"/>
      <w:szCs w:val="32"/>
    </w:rPr>
  </w:style>
  <w:style w:type="character" w:customStyle="1" w:styleId="55">
    <w:name w:val="日期 Char"/>
    <w:link w:val="20"/>
    <w:qFormat/>
    <w:uiPriority w:val="99"/>
    <w:rPr>
      <w:rFonts w:ascii="Calibri" w:hAnsi="Calibri" w:eastAsia="宋体"/>
    </w:rPr>
  </w:style>
  <w:style w:type="character" w:customStyle="1" w:styleId="56">
    <w:name w:val="正文文本 Char"/>
    <w:link w:val="15"/>
    <w:qFormat/>
    <w:uiPriority w:val="99"/>
    <w:rPr>
      <w:rFonts w:ascii="Calibri" w:hAnsi="Calibri" w:eastAsia="宋体"/>
    </w:rPr>
  </w:style>
  <w:style w:type="character" w:customStyle="1" w:styleId="57">
    <w:name w:val="正文缩进 Char"/>
    <w:link w:val="12"/>
    <w:qFormat/>
    <w:uiPriority w:val="99"/>
    <w:rPr>
      <w:rFonts w:eastAsia="宋体"/>
      <w:szCs w:val="24"/>
    </w:rPr>
  </w:style>
  <w:style w:type="character" w:customStyle="1" w:styleId="58">
    <w:name w:val="para_small1"/>
    <w:qFormat/>
    <w:uiPriority w:val="0"/>
    <w:rPr>
      <w:rFonts w:ascii="Arial" w:hAnsi="Arial" w:eastAsia="宋体" w:cs="Times New Roman"/>
      <w:sz w:val="18"/>
    </w:rPr>
  </w:style>
  <w:style w:type="character" w:customStyle="1" w:styleId="59">
    <w:name w:val="编号标题2 Char Char Char"/>
    <w:qFormat/>
    <w:uiPriority w:val="0"/>
    <w:rPr>
      <w:rFonts w:ascii="Arial" w:hAnsi="Arial" w:eastAsia="黑体" w:cs="Times New Roman"/>
      <w:bCs/>
      <w:kern w:val="2"/>
      <w:sz w:val="21"/>
      <w:szCs w:val="32"/>
      <w:lang w:val="en-US" w:eastAsia="zh-CN" w:bidi="ar-SA"/>
    </w:rPr>
  </w:style>
  <w:style w:type="character" w:customStyle="1" w:styleId="60">
    <w:name w:val="普通文字 Char1"/>
    <w:qFormat/>
    <w:uiPriority w:val="0"/>
    <w:rPr>
      <w:rFonts w:ascii="宋体" w:hAnsi="Courier New" w:eastAsia="宋体" w:cs="Times New Roman"/>
      <w:kern w:val="2"/>
      <w:sz w:val="21"/>
      <w:lang w:val="en-US" w:eastAsia="zh-CN" w:bidi="ar-SA"/>
    </w:rPr>
  </w:style>
  <w:style w:type="character" w:customStyle="1" w:styleId="61">
    <w:name w:val="纯文本 Char"/>
    <w:link w:val="19"/>
    <w:qFormat/>
    <w:uiPriority w:val="0"/>
    <w:rPr>
      <w:rFonts w:ascii="宋体" w:hAnsi="Courier New" w:eastAsia="宋体"/>
    </w:rPr>
  </w:style>
  <w:style w:type="character" w:customStyle="1" w:styleId="62">
    <w:name w:val="页脚 Char"/>
    <w:link w:val="23"/>
    <w:qFormat/>
    <w:uiPriority w:val="99"/>
    <w:rPr>
      <w:rFonts w:eastAsia="宋体"/>
      <w:sz w:val="18"/>
      <w:szCs w:val="18"/>
    </w:rPr>
  </w:style>
  <w:style w:type="character" w:customStyle="1" w:styleId="63">
    <w:name w:val="批注框文本 Char"/>
    <w:link w:val="22"/>
    <w:qFormat/>
    <w:uiPriority w:val="99"/>
    <w:rPr>
      <w:rFonts w:ascii="Calibri" w:hAnsi="Calibri" w:eastAsia="宋体"/>
      <w:sz w:val="18"/>
      <w:szCs w:val="18"/>
    </w:rPr>
  </w:style>
  <w:style w:type="character" w:customStyle="1" w:styleId="64">
    <w:name w:val="批注文字 Char"/>
    <w:link w:val="14"/>
    <w:qFormat/>
    <w:uiPriority w:val="0"/>
    <w:rPr>
      <w:rFonts w:ascii="Calibri" w:hAnsi="Calibri" w:eastAsia="宋体"/>
    </w:rPr>
  </w:style>
  <w:style w:type="character" w:customStyle="1" w:styleId="65">
    <w:name w:val="页眉 Char"/>
    <w:link w:val="24"/>
    <w:qFormat/>
    <w:uiPriority w:val="99"/>
    <w:rPr>
      <w:rFonts w:eastAsia="宋体"/>
      <w:sz w:val="18"/>
      <w:szCs w:val="18"/>
    </w:rPr>
  </w:style>
  <w:style w:type="character" w:customStyle="1" w:styleId="66">
    <w:name w:val="apple-converted-space"/>
    <w:qFormat/>
    <w:uiPriority w:val="0"/>
    <w:rPr>
      <w:rFonts w:ascii="Calibri" w:hAnsi="Calibri" w:eastAsia="宋体" w:cs="Times New Roman"/>
    </w:rPr>
  </w:style>
  <w:style w:type="character" w:customStyle="1" w:styleId="67">
    <w:name w:val="文档结构图 Char"/>
    <w:link w:val="13"/>
    <w:qFormat/>
    <w:uiPriority w:val="99"/>
    <w:rPr>
      <w:rFonts w:ascii="宋体" w:eastAsia="宋体"/>
      <w:sz w:val="18"/>
      <w:szCs w:val="18"/>
    </w:rPr>
  </w:style>
  <w:style w:type="character" w:customStyle="1" w:styleId="68">
    <w:name w:val="Plain Text Char"/>
    <w:qFormat/>
    <w:uiPriority w:val="0"/>
    <w:rPr>
      <w:rFonts w:ascii="宋体" w:hAnsi="Courier New" w:eastAsia="宋体" w:cs="Courier New"/>
      <w:sz w:val="21"/>
      <w:szCs w:val="21"/>
    </w:rPr>
  </w:style>
  <w:style w:type="character" w:customStyle="1" w:styleId="69">
    <w:name w:val="样式 宋体 小四"/>
    <w:qFormat/>
    <w:uiPriority w:val="0"/>
    <w:rPr>
      <w:rFonts w:ascii="宋体" w:hAnsi="Calibri" w:eastAsia="宋体" w:cs="Times New Roman"/>
      <w:sz w:val="24"/>
    </w:rPr>
  </w:style>
  <w:style w:type="character" w:customStyle="1" w:styleId="70">
    <w:name w:val="正文文本缩进 Char"/>
    <w:link w:val="17"/>
    <w:qFormat/>
    <w:uiPriority w:val="99"/>
    <w:rPr>
      <w:rFonts w:eastAsia="方正书宋简体"/>
      <w:sz w:val="24"/>
    </w:rPr>
  </w:style>
  <w:style w:type="character" w:customStyle="1" w:styleId="71">
    <w:name w:val="正文文本缩进 2 Char"/>
    <w:link w:val="21"/>
    <w:qFormat/>
    <w:uiPriority w:val="0"/>
    <w:rPr>
      <w:rFonts w:eastAsia="宋体"/>
      <w:szCs w:val="24"/>
    </w:rPr>
  </w:style>
  <w:style w:type="character" w:customStyle="1" w:styleId="72">
    <w:name w:val="批注主题 Char"/>
    <w:link w:val="32"/>
    <w:qFormat/>
    <w:uiPriority w:val="99"/>
    <w:rPr>
      <w:rFonts w:eastAsia="宋体"/>
      <w:b/>
      <w:bCs/>
      <w:szCs w:val="24"/>
    </w:rPr>
  </w:style>
  <w:style w:type="character" w:customStyle="1" w:styleId="73">
    <w:name w:val="正文文本缩进 3 Char"/>
    <w:link w:val="27"/>
    <w:qFormat/>
    <w:uiPriority w:val="99"/>
    <w:rPr>
      <w:rFonts w:eastAsia="宋体"/>
      <w:sz w:val="16"/>
      <w:szCs w:val="16"/>
    </w:rPr>
  </w:style>
  <w:style w:type="character" w:customStyle="1" w:styleId="74">
    <w:name w:val="批注文字 字符1"/>
    <w:basedOn w:val="36"/>
    <w:semiHidden/>
    <w:qFormat/>
    <w:uiPriority w:val="99"/>
    <w:rPr>
      <w:rFonts w:ascii="Times New Roman" w:hAnsi="Times New Roman" w:eastAsia="宋体" w:cs="Times New Roman"/>
      <w:kern w:val="0"/>
      <w:sz w:val="24"/>
      <w:szCs w:val="24"/>
    </w:rPr>
  </w:style>
  <w:style w:type="character" w:customStyle="1" w:styleId="75">
    <w:name w:val="批注框文本 字符1"/>
    <w:basedOn w:val="36"/>
    <w:semiHidden/>
    <w:qFormat/>
    <w:uiPriority w:val="99"/>
    <w:rPr>
      <w:rFonts w:ascii="Times New Roman" w:hAnsi="Times New Roman" w:eastAsia="宋体" w:cs="Times New Roman"/>
      <w:kern w:val="0"/>
      <w:sz w:val="18"/>
      <w:szCs w:val="18"/>
    </w:rPr>
  </w:style>
  <w:style w:type="character" w:customStyle="1" w:styleId="76">
    <w:name w:val="页眉 字符1"/>
    <w:basedOn w:val="36"/>
    <w:semiHidden/>
    <w:qFormat/>
    <w:uiPriority w:val="99"/>
    <w:rPr>
      <w:rFonts w:ascii="Times New Roman" w:hAnsi="Times New Roman" w:eastAsia="宋体" w:cs="Times New Roman"/>
      <w:kern w:val="0"/>
      <w:sz w:val="18"/>
      <w:szCs w:val="18"/>
    </w:rPr>
  </w:style>
  <w:style w:type="character" w:customStyle="1" w:styleId="77">
    <w:name w:val="文档结构图 字符1"/>
    <w:basedOn w:val="36"/>
    <w:semiHidden/>
    <w:qFormat/>
    <w:uiPriority w:val="99"/>
    <w:rPr>
      <w:rFonts w:ascii="Microsoft YaHei UI" w:hAnsi="Times New Roman" w:eastAsia="Microsoft YaHei UI" w:cs="Times New Roman"/>
      <w:kern w:val="0"/>
      <w:sz w:val="18"/>
      <w:szCs w:val="18"/>
    </w:rPr>
  </w:style>
  <w:style w:type="character" w:customStyle="1" w:styleId="78">
    <w:name w:val="正文文本缩进 2 字符1"/>
    <w:basedOn w:val="36"/>
    <w:semiHidden/>
    <w:qFormat/>
    <w:uiPriority w:val="99"/>
    <w:rPr>
      <w:rFonts w:ascii="Times New Roman" w:hAnsi="Times New Roman" w:eastAsia="宋体" w:cs="Times New Roman"/>
      <w:kern w:val="0"/>
      <w:sz w:val="24"/>
      <w:szCs w:val="24"/>
    </w:rPr>
  </w:style>
  <w:style w:type="character" w:customStyle="1" w:styleId="79">
    <w:name w:val="纯文本 字符1"/>
    <w:basedOn w:val="36"/>
    <w:semiHidden/>
    <w:qFormat/>
    <w:uiPriority w:val="99"/>
    <w:rPr>
      <w:rFonts w:hAnsi="Courier New" w:cs="Courier New" w:asciiTheme="minorEastAsia"/>
      <w:kern w:val="0"/>
      <w:sz w:val="24"/>
      <w:szCs w:val="24"/>
    </w:rPr>
  </w:style>
  <w:style w:type="character" w:customStyle="1" w:styleId="80">
    <w:name w:val="正文文本 字符1"/>
    <w:basedOn w:val="36"/>
    <w:semiHidden/>
    <w:qFormat/>
    <w:uiPriority w:val="99"/>
    <w:rPr>
      <w:rFonts w:ascii="Times New Roman" w:hAnsi="Times New Roman" w:eastAsia="宋体" w:cs="Times New Roman"/>
      <w:kern w:val="0"/>
      <w:sz w:val="24"/>
      <w:szCs w:val="24"/>
    </w:rPr>
  </w:style>
  <w:style w:type="character" w:customStyle="1" w:styleId="81">
    <w:name w:val="批注主题 字符1"/>
    <w:basedOn w:val="74"/>
    <w:semiHidden/>
    <w:qFormat/>
    <w:uiPriority w:val="99"/>
    <w:rPr>
      <w:rFonts w:ascii="Times New Roman" w:hAnsi="Times New Roman" w:eastAsia="宋体" w:cs="Times New Roman"/>
      <w:b/>
      <w:bCs/>
      <w:kern w:val="0"/>
      <w:sz w:val="24"/>
      <w:szCs w:val="24"/>
    </w:rPr>
  </w:style>
  <w:style w:type="character" w:customStyle="1" w:styleId="82">
    <w:name w:val="正文文本缩进 字符1"/>
    <w:basedOn w:val="36"/>
    <w:semiHidden/>
    <w:qFormat/>
    <w:uiPriority w:val="99"/>
    <w:rPr>
      <w:rFonts w:ascii="Times New Roman" w:hAnsi="Times New Roman" w:eastAsia="宋体" w:cs="Times New Roman"/>
      <w:kern w:val="0"/>
      <w:sz w:val="24"/>
      <w:szCs w:val="24"/>
    </w:rPr>
  </w:style>
  <w:style w:type="character" w:customStyle="1" w:styleId="83">
    <w:name w:val="页脚 字符1"/>
    <w:basedOn w:val="36"/>
    <w:semiHidden/>
    <w:qFormat/>
    <w:uiPriority w:val="99"/>
    <w:rPr>
      <w:rFonts w:ascii="Times New Roman" w:hAnsi="Times New Roman" w:eastAsia="宋体" w:cs="Times New Roman"/>
      <w:kern w:val="0"/>
      <w:sz w:val="18"/>
      <w:szCs w:val="18"/>
    </w:rPr>
  </w:style>
  <w:style w:type="character" w:customStyle="1" w:styleId="84">
    <w:name w:val="日期 字符1"/>
    <w:basedOn w:val="36"/>
    <w:semiHidden/>
    <w:qFormat/>
    <w:uiPriority w:val="99"/>
    <w:rPr>
      <w:rFonts w:ascii="Times New Roman" w:hAnsi="Times New Roman" w:eastAsia="宋体" w:cs="Times New Roman"/>
      <w:kern w:val="0"/>
      <w:sz w:val="24"/>
      <w:szCs w:val="24"/>
    </w:rPr>
  </w:style>
  <w:style w:type="character" w:customStyle="1" w:styleId="85">
    <w:name w:val="正文文本缩进 3 字符1"/>
    <w:basedOn w:val="36"/>
    <w:semiHidden/>
    <w:qFormat/>
    <w:uiPriority w:val="99"/>
    <w:rPr>
      <w:rFonts w:ascii="Times New Roman" w:hAnsi="Times New Roman" w:eastAsia="宋体" w:cs="Times New Roman"/>
      <w:kern w:val="0"/>
      <w:sz w:val="16"/>
      <w:szCs w:val="16"/>
    </w:rPr>
  </w:style>
  <w:style w:type="character" w:customStyle="1" w:styleId="86">
    <w:name w:val="标题 字符1"/>
    <w:basedOn w:val="36"/>
    <w:qFormat/>
    <w:uiPriority w:val="10"/>
    <w:rPr>
      <w:rFonts w:asciiTheme="majorHAnsi" w:hAnsiTheme="majorHAnsi" w:eastAsiaTheme="majorEastAsia" w:cstheme="majorBidi"/>
      <w:b/>
      <w:bCs/>
      <w:kern w:val="0"/>
      <w:sz w:val="32"/>
      <w:szCs w:val="32"/>
    </w:rPr>
  </w:style>
  <w:style w:type="paragraph" w:customStyle="1" w:styleId="87">
    <w:name w:val="Char2"/>
    <w:basedOn w:val="1"/>
    <w:qFormat/>
    <w:uiPriority w:val="0"/>
    <w:pPr>
      <w:ind w:left="420" w:firstLine="420"/>
    </w:pPr>
    <w:rPr>
      <w:rFonts w:ascii="Calibri" w:hAnsi="Calibri"/>
      <w:szCs w:val="21"/>
    </w:rPr>
  </w:style>
  <w:style w:type="paragraph" w:customStyle="1" w:styleId="88">
    <w:name w:val="小四 段落 宋体 Char Char"/>
    <w:basedOn w:val="1"/>
    <w:qFormat/>
    <w:uiPriority w:val="0"/>
    <w:pPr>
      <w:ind w:right="-33" w:firstLine="480" w:firstLineChars="200"/>
    </w:pPr>
    <w:rPr>
      <w:rFonts w:ascii="Calibri" w:hAnsi="Calibri"/>
    </w:rPr>
  </w:style>
  <w:style w:type="paragraph" w:customStyle="1" w:styleId="89">
    <w:name w:val="列出段落11"/>
    <w:basedOn w:val="1"/>
    <w:qFormat/>
    <w:uiPriority w:val="0"/>
    <w:pPr>
      <w:ind w:firstLine="420" w:firstLineChars="200"/>
    </w:pPr>
    <w:rPr>
      <w:rFonts w:ascii="Calibri" w:hAnsi="Calibri"/>
    </w:rPr>
  </w:style>
  <w:style w:type="paragraph" w:customStyle="1" w:styleId="90">
    <w:name w:val="列出段落1"/>
    <w:qFormat/>
    <w:uiPriority w:val="0"/>
    <w:pPr>
      <w:ind w:firstLine="420" w:firstLineChars="200"/>
    </w:pPr>
    <w:rPr>
      <w:rFonts w:ascii="Calibri" w:hAnsi="Calibri" w:eastAsia="宋体" w:cs="Times New Roman"/>
      <w:lang w:val="en-US" w:eastAsia="zh-CN" w:bidi="ar-SA"/>
    </w:rPr>
  </w:style>
  <w:style w:type="paragraph" w:customStyle="1" w:styleId="91">
    <w:name w:val="插入对象"/>
    <w:basedOn w:val="1"/>
    <w:qFormat/>
    <w:uiPriority w:val="0"/>
    <w:pPr>
      <w:keepLines/>
      <w:adjustRightInd w:val="0"/>
      <w:spacing w:line="354" w:lineRule="auto"/>
      <w:ind w:firstLine="425"/>
      <w:jc w:val="center"/>
      <w:textAlignment w:val="baseline"/>
    </w:pPr>
    <w:rPr>
      <w:rFonts w:ascii="Calibri" w:hAnsi="Calibri"/>
      <w:szCs w:val="20"/>
    </w:rPr>
  </w:style>
  <w:style w:type="paragraph" w:customStyle="1" w:styleId="92">
    <w:name w:val="列出段落121"/>
    <w:basedOn w:val="1"/>
    <w:qFormat/>
    <w:uiPriority w:val="0"/>
    <w:pPr>
      <w:ind w:firstLine="420" w:firstLineChars="200"/>
    </w:pPr>
    <w:rPr>
      <w:rFonts w:ascii="Calibri" w:hAnsi="Calibri"/>
    </w:rPr>
  </w:style>
  <w:style w:type="paragraph" w:customStyle="1" w:styleId="93">
    <w:name w:val="Char Char Char"/>
    <w:basedOn w:val="1"/>
    <w:qFormat/>
    <w:uiPriority w:val="99"/>
    <w:rPr>
      <w:rFonts w:ascii="Tahoma" w:hAnsi="Tahoma"/>
      <w:szCs w:val="20"/>
    </w:rPr>
  </w:style>
  <w:style w:type="paragraph" w:customStyle="1" w:styleId="94">
    <w:name w:val="样式 正文缩进 + 首行缩进:  2 字符"/>
    <w:basedOn w:val="12"/>
    <w:qFormat/>
    <w:uiPriority w:val="0"/>
    <w:pPr>
      <w:autoSpaceDE w:val="0"/>
      <w:autoSpaceDN w:val="0"/>
      <w:spacing w:before="160" w:after="160"/>
      <w:ind w:firstLine="480"/>
    </w:pPr>
    <w:rPr>
      <w:rFonts w:ascii="宋体" w:hAnsi="宋体"/>
      <w:sz w:val="24"/>
    </w:rPr>
  </w:style>
  <w:style w:type="paragraph" w:customStyle="1" w:styleId="95">
    <w:name w:val="文档正文"/>
    <w:basedOn w:val="1"/>
    <w:qFormat/>
    <w:uiPriority w:val="0"/>
    <w:pPr>
      <w:adjustRightInd w:val="0"/>
      <w:spacing w:line="312" w:lineRule="atLeast"/>
      <w:ind w:firstLine="567"/>
      <w:textAlignment w:val="baseline"/>
    </w:pPr>
    <w:rPr>
      <w:rFonts w:ascii="长城仿宋" w:eastAsia="长城仿宋"/>
      <w:sz w:val="28"/>
    </w:rPr>
  </w:style>
  <w:style w:type="paragraph" w:customStyle="1" w:styleId="96">
    <w:name w:val="不可偏离参数"/>
    <w:basedOn w:val="6"/>
    <w:qFormat/>
    <w:uiPriority w:val="0"/>
    <w:pPr>
      <w:numPr>
        <w:ilvl w:val="0"/>
        <w:numId w:val="1"/>
      </w:numPr>
      <w:tabs>
        <w:tab w:val="clear" w:pos="420"/>
      </w:tabs>
      <w:spacing w:before="0" w:after="0" w:line="240" w:lineRule="auto"/>
    </w:pPr>
    <w:rPr>
      <w:rFonts w:ascii="Calibri" w:hAnsi="Calibri"/>
      <w:b w:val="0"/>
      <w:sz w:val="21"/>
    </w:rPr>
  </w:style>
  <w:style w:type="paragraph" w:customStyle="1" w:styleId="97">
    <w:name w:val="Char1 Char Char Char Char Char Char"/>
    <w:basedOn w:val="1"/>
    <w:qFormat/>
    <w:uiPriority w:val="99"/>
    <w:pPr>
      <w:spacing w:after="160" w:line="240" w:lineRule="exact"/>
    </w:pPr>
    <w:rPr>
      <w:rFonts w:ascii="Verdana" w:hAnsi="Verdana"/>
      <w:sz w:val="20"/>
      <w:szCs w:val="20"/>
      <w:lang w:eastAsia="en-US"/>
    </w:rPr>
  </w:style>
  <w:style w:type="paragraph" w:customStyle="1" w:styleId="98">
    <w:name w:val="_Style 270"/>
    <w:basedOn w:val="1"/>
    <w:qFormat/>
    <w:uiPriority w:val="0"/>
    <w:rPr>
      <w:rFonts w:ascii="Calibri" w:hAnsi="Calibri"/>
    </w:rPr>
  </w:style>
  <w:style w:type="paragraph" w:customStyle="1" w:styleId="99">
    <w:name w:val="样式 标题 2 + Times New Roman 四号 非加粗 段前: 5 磅 段后: 0 磅 行距: 固定值 20..."/>
    <w:basedOn w:val="3"/>
    <w:qFormat/>
    <w:uiPriority w:val="0"/>
    <w:pPr>
      <w:tabs>
        <w:tab w:val="left" w:pos="900"/>
      </w:tabs>
      <w:spacing w:line="400" w:lineRule="exact"/>
      <w:jc w:val="both"/>
    </w:pPr>
    <w:rPr>
      <w:rFonts w:ascii="Times New Roman" w:hAnsi="Times New Roman" w:eastAsia="宋体" w:cs="宋体"/>
      <w:bCs w:val="0"/>
      <w:kern w:val="2"/>
      <w:szCs w:val="20"/>
    </w:rPr>
  </w:style>
  <w:style w:type="paragraph" w:customStyle="1" w:styleId="100">
    <w:name w:val="Char"/>
    <w:basedOn w:val="1"/>
    <w:qFormat/>
    <w:uiPriority w:val="0"/>
    <w:pPr>
      <w:numPr>
        <w:ilvl w:val="0"/>
        <w:numId w:val="2"/>
      </w:numPr>
      <w:tabs>
        <w:tab w:val="clear" w:pos="425"/>
      </w:tabs>
    </w:pPr>
    <w:rPr>
      <w:rFonts w:ascii="Calibri" w:hAnsi="Calibri"/>
    </w:rPr>
  </w:style>
  <w:style w:type="paragraph" w:customStyle="1" w:styleId="101">
    <w:name w:val="Char Char1 Char Char Char"/>
    <w:basedOn w:val="1"/>
    <w:qFormat/>
    <w:uiPriority w:val="0"/>
    <w:rPr>
      <w:rFonts w:ascii="Calibri" w:hAnsi="Calibri"/>
    </w:rPr>
  </w:style>
  <w:style w:type="paragraph" w:customStyle="1" w:styleId="102">
    <w:name w:val="Char1"/>
    <w:basedOn w:val="1"/>
    <w:qFormat/>
    <w:uiPriority w:val="99"/>
    <w:pPr>
      <w:snapToGrid w:val="0"/>
      <w:ind w:left="-3" w:right="-28" w:rightChars="-10" w:firstLine="480" w:firstLineChars="200"/>
    </w:pPr>
    <w:rPr>
      <w:rFonts w:ascii="Tahoma" w:hAnsi="Tahoma" w:eastAsia="仿宋_GB2312" w:cs="Tahoma"/>
    </w:rPr>
  </w:style>
  <w:style w:type="paragraph" w:customStyle="1" w:styleId="103">
    <w:name w:val="样式 标题 5 + 右侧:  -0.18 字符"/>
    <w:basedOn w:val="1"/>
    <w:qFormat/>
    <w:uiPriority w:val="99"/>
    <w:pPr>
      <w:tabs>
        <w:tab w:val="left" w:pos="1008"/>
      </w:tabs>
      <w:ind w:left="2108" w:hanging="420" w:firstLineChars="200"/>
    </w:pPr>
    <w:rPr>
      <w:rFonts w:eastAsia="仿宋_GB2312"/>
    </w:rPr>
  </w:style>
  <w:style w:type="paragraph" w:customStyle="1" w:styleId="104">
    <w:name w:val="TOC 标题1"/>
    <w:basedOn w:val="2"/>
    <w:next w:val="1"/>
    <w:qFormat/>
    <w:uiPriority w:val="99"/>
    <w:pPr>
      <w:spacing w:before="480" w:line="276" w:lineRule="auto"/>
      <w:ind w:firstLine="480" w:firstLineChars="200"/>
      <w:jc w:val="left"/>
      <w:outlineLvl w:val="9"/>
    </w:pPr>
    <w:rPr>
      <w:rFonts w:ascii="Cambria" w:hAnsi="Cambria" w:eastAsia="宋体"/>
      <w:color w:val="365F91"/>
      <w:kern w:val="0"/>
      <w:sz w:val="28"/>
      <w:szCs w:val="28"/>
    </w:rPr>
  </w:style>
  <w:style w:type="character" w:customStyle="1" w:styleId="105">
    <w:name w:val="标题 Char1"/>
    <w:qFormat/>
    <w:uiPriority w:val="99"/>
    <w:rPr>
      <w:rFonts w:ascii="Cambria" w:hAnsi="Cambria" w:eastAsia="宋体"/>
      <w:b/>
      <w:sz w:val="32"/>
    </w:rPr>
  </w:style>
  <w:style w:type="character" w:customStyle="1" w:styleId="106">
    <w:name w:val="Char Char"/>
    <w:qFormat/>
    <w:uiPriority w:val="99"/>
    <w:rPr>
      <w:rFonts w:ascii="Cambria" w:hAnsi="Cambria" w:eastAsia="宋体"/>
      <w:b/>
      <w:sz w:val="32"/>
    </w:rPr>
  </w:style>
  <w:style w:type="paragraph" w:customStyle="1" w:styleId="107">
    <w:name w:val="xl63"/>
    <w:basedOn w:val="1"/>
    <w:qFormat/>
    <w:uiPriority w:val="99"/>
    <w:pPr>
      <w:pBdr>
        <w:top w:val="single" w:color="000000" w:sz="4" w:space="0"/>
        <w:left w:val="single" w:color="000000" w:sz="4" w:space="0"/>
        <w:bottom w:val="single" w:color="000000" w:sz="4" w:space="0"/>
        <w:right w:val="single" w:color="000000" w:sz="4" w:space="0"/>
      </w:pBdr>
      <w:ind w:firstLine="480" w:firstLineChars="200"/>
      <w:jc w:val="center"/>
    </w:pPr>
    <w:rPr>
      <w:rFonts w:ascii="仿宋" w:hAnsi="仿宋" w:eastAsia="仿宋" w:cs="宋体"/>
      <w:b/>
      <w:bCs/>
      <w:sz w:val="22"/>
      <w:szCs w:val="22"/>
    </w:rPr>
  </w:style>
  <w:style w:type="paragraph" w:customStyle="1" w:styleId="108">
    <w:name w:val="xl64"/>
    <w:basedOn w:val="1"/>
    <w:qFormat/>
    <w:uiPriority w:val="99"/>
    <w:pPr>
      <w:pBdr>
        <w:top w:val="single" w:color="000000" w:sz="4" w:space="0"/>
        <w:left w:val="single" w:color="000000" w:sz="4" w:space="0"/>
        <w:bottom w:val="single" w:color="000000" w:sz="4" w:space="0"/>
        <w:right w:val="single" w:color="000000" w:sz="4" w:space="0"/>
      </w:pBdr>
      <w:ind w:firstLine="480" w:firstLineChars="200"/>
      <w:textAlignment w:val="center"/>
    </w:pPr>
    <w:rPr>
      <w:rFonts w:ascii="仿宋" w:hAnsi="仿宋" w:eastAsia="仿宋" w:cs="宋体"/>
      <w:sz w:val="22"/>
      <w:szCs w:val="22"/>
    </w:rPr>
  </w:style>
  <w:style w:type="paragraph" w:customStyle="1" w:styleId="109">
    <w:name w:val="xl65"/>
    <w:basedOn w:val="1"/>
    <w:qFormat/>
    <w:uiPriority w:val="99"/>
    <w:pPr>
      <w:pBdr>
        <w:top w:val="single" w:color="000000" w:sz="4" w:space="0"/>
        <w:left w:val="single" w:color="000000" w:sz="4" w:space="0"/>
        <w:bottom w:val="single" w:color="000000" w:sz="4" w:space="0"/>
        <w:right w:val="single" w:color="000000" w:sz="4" w:space="0"/>
      </w:pBdr>
      <w:ind w:firstLine="480" w:firstLineChars="200"/>
      <w:jc w:val="center"/>
    </w:pPr>
    <w:rPr>
      <w:rFonts w:ascii="仿宋" w:hAnsi="仿宋" w:eastAsia="仿宋" w:cs="宋体"/>
      <w:b/>
      <w:bCs/>
      <w:sz w:val="22"/>
      <w:szCs w:val="22"/>
    </w:rPr>
  </w:style>
  <w:style w:type="paragraph" w:customStyle="1" w:styleId="110">
    <w:name w:val="xl66"/>
    <w:basedOn w:val="1"/>
    <w:qFormat/>
    <w:uiPriority w:val="99"/>
    <w:pPr>
      <w:pBdr>
        <w:top w:val="single" w:color="000000" w:sz="4" w:space="0"/>
        <w:left w:val="single" w:color="000000" w:sz="4" w:space="0"/>
        <w:bottom w:val="single" w:color="000000" w:sz="4" w:space="0"/>
        <w:right w:val="single" w:color="000000" w:sz="4" w:space="0"/>
      </w:pBdr>
      <w:ind w:firstLine="480" w:firstLineChars="200"/>
      <w:textAlignment w:val="center"/>
    </w:pPr>
    <w:rPr>
      <w:rFonts w:ascii="仿宋" w:hAnsi="仿宋" w:eastAsia="仿宋" w:cs="宋体"/>
      <w:sz w:val="22"/>
      <w:szCs w:val="22"/>
    </w:rPr>
  </w:style>
  <w:style w:type="paragraph" w:customStyle="1" w:styleId="111">
    <w:name w:val="font5"/>
    <w:basedOn w:val="1"/>
    <w:qFormat/>
    <w:uiPriority w:val="99"/>
    <w:pPr>
      <w:ind w:firstLine="480" w:firstLineChars="200"/>
    </w:pPr>
    <w:rPr>
      <w:rFonts w:ascii="宋体" w:hAnsi="宋体" w:eastAsia="仿宋_GB2312" w:cs="宋体"/>
      <w:sz w:val="18"/>
      <w:szCs w:val="18"/>
    </w:rPr>
  </w:style>
  <w:style w:type="paragraph" w:customStyle="1" w:styleId="112">
    <w:name w:val="*正文"/>
    <w:basedOn w:val="1"/>
    <w:link w:val="113"/>
    <w:qFormat/>
    <w:uiPriority w:val="0"/>
    <w:pPr>
      <w:ind w:firstLine="480" w:firstLineChars="200"/>
    </w:pPr>
    <w:rPr>
      <w:rFonts w:ascii="宋体" w:hAnsi="宋体" w:eastAsia="仿宋_GB2312"/>
      <w:kern w:val="2"/>
      <w:lang w:val="zh-CN"/>
    </w:rPr>
  </w:style>
  <w:style w:type="character" w:customStyle="1" w:styleId="113">
    <w:name w:val="*正文 Char"/>
    <w:link w:val="112"/>
    <w:qFormat/>
    <w:uiPriority w:val="0"/>
    <w:rPr>
      <w:rFonts w:ascii="宋体" w:hAnsi="宋体" w:eastAsia="仿宋_GB2312" w:cs="Times New Roman"/>
      <w:sz w:val="24"/>
      <w:szCs w:val="24"/>
      <w:lang w:val="zh-CN" w:eastAsia="zh-CN"/>
    </w:rPr>
  </w:style>
  <w:style w:type="paragraph" w:customStyle="1" w:styleId="114">
    <w:name w:val="无间隔1"/>
    <w:basedOn w:val="19"/>
    <w:link w:val="115"/>
    <w:qFormat/>
    <w:uiPriority w:val="0"/>
    <w:pPr>
      <w:ind w:firstLine="480" w:firstLineChars="200"/>
    </w:pPr>
    <w:rPr>
      <w:rFonts w:hAnsi="宋体" w:eastAsia="仿宋_GB2312"/>
      <w:color w:val="000000"/>
      <w:szCs w:val="21"/>
    </w:rPr>
  </w:style>
  <w:style w:type="character" w:customStyle="1" w:styleId="115">
    <w:name w:val="无间隔 Char"/>
    <w:link w:val="114"/>
    <w:qFormat/>
    <w:uiPriority w:val="0"/>
    <w:rPr>
      <w:rFonts w:ascii="宋体" w:hAnsi="宋体" w:eastAsia="仿宋_GB2312"/>
      <w:color w:val="000000"/>
      <w:szCs w:val="21"/>
    </w:rPr>
  </w:style>
  <w:style w:type="paragraph" w:customStyle="1" w:styleId="116">
    <w:name w:val="列出段落2"/>
    <w:basedOn w:val="1"/>
    <w:qFormat/>
    <w:uiPriority w:val="34"/>
    <w:pPr>
      <w:ind w:firstLine="420" w:firstLineChars="200"/>
    </w:pPr>
    <w:rPr>
      <w:rFonts w:eastAsia="仿宋_GB2312"/>
    </w:rPr>
  </w:style>
  <w:style w:type="character" w:customStyle="1" w:styleId="117">
    <w:name w:val="列出段落 Char"/>
    <w:qFormat/>
    <w:uiPriority w:val="0"/>
    <w:rPr>
      <w:rFonts w:eastAsia="宋体"/>
      <w:kern w:val="2"/>
      <w:sz w:val="21"/>
      <w:lang w:val="en-US" w:eastAsia="zh-CN" w:bidi="ar-SA"/>
    </w:rPr>
  </w:style>
  <w:style w:type="character" w:customStyle="1" w:styleId="118">
    <w:name w:val="Char Char11"/>
    <w:qFormat/>
    <w:uiPriority w:val="0"/>
    <w:rPr>
      <w:rFonts w:ascii="Times New Roman" w:hAnsi="Times New Roman" w:eastAsia="宋体" w:cs="Times New Roman"/>
      <w:b/>
      <w:bCs/>
      <w:kern w:val="44"/>
      <w:sz w:val="44"/>
      <w:szCs w:val="44"/>
    </w:rPr>
  </w:style>
  <w:style w:type="paragraph" w:customStyle="1" w:styleId="119">
    <w:name w:val="图1"/>
    <w:basedOn w:val="1"/>
    <w:qFormat/>
    <w:uiPriority w:val="0"/>
    <w:pPr>
      <w:numPr>
        <w:ilvl w:val="0"/>
        <w:numId w:val="3"/>
      </w:numPr>
      <w:ind w:firstLine="200" w:firstLineChars="200"/>
      <w:jc w:val="center"/>
    </w:pPr>
    <w:rPr>
      <w:rFonts w:eastAsia="仿宋_GB2312"/>
      <w:b/>
    </w:rPr>
  </w:style>
  <w:style w:type="paragraph" w:customStyle="1" w:styleId="120">
    <w:name w:val="无间隔2"/>
    <w:basedOn w:val="19"/>
    <w:qFormat/>
    <w:uiPriority w:val="1"/>
    <w:pPr>
      <w:numPr>
        <w:ilvl w:val="0"/>
        <w:numId w:val="4"/>
      </w:numPr>
      <w:tabs>
        <w:tab w:val="clear" w:pos="360"/>
      </w:tabs>
      <w:ind w:left="0" w:firstLine="480" w:firstLineChars="200"/>
    </w:pPr>
    <w:rPr>
      <w:rFonts w:hAnsi="宋体" w:eastAsia="仿宋_GB2312"/>
      <w:color w:val="000000"/>
      <w:szCs w:val="21"/>
    </w:rPr>
  </w:style>
  <w:style w:type="paragraph" w:customStyle="1" w:styleId="121">
    <w:name w:val="z-窗体顶端1"/>
    <w:basedOn w:val="1"/>
    <w:link w:val="122"/>
    <w:qFormat/>
    <w:uiPriority w:val="34"/>
    <w:pPr>
      <w:adjustRightInd w:val="0"/>
      <w:spacing w:line="276" w:lineRule="auto"/>
      <w:ind w:firstLine="420" w:firstLineChars="200"/>
      <w:textAlignment w:val="baseline"/>
    </w:pPr>
    <w:rPr>
      <w:rFonts w:ascii="Calibri" w:hAnsi="Calibri" w:eastAsia="Calibri"/>
      <w:color w:val="000000"/>
      <w:sz w:val="22"/>
      <w:szCs w:val="20"/>
      <w:lang w:val="zh-CN"/>
    </w:rPr>
  </w:style>
  <w:style w:type="character" w:customStyle="1" w:styleId="122">
    <w:name w:val="z-窗体顶端 Char"/>
    <w:basedOn w:val="36"/>
    <w:link w:val="121"/>
    <w:qFormat/>
    <w:uiPriority w:val="34"/>
    <w:rPr>
      <w:rFonts w:ascii="Calibri" w:hAnsi="Calibri" w:eastAsia="Calibri" w:cs="Times New Roman"/>
      <w:color w:val="000000"/>
      <w:kern w:val="0"/>
      <w:sz w:val="22"/>
      <w:szCs w:val="20"/>
      <w:lang w:val="zh-CN" w:eastAsia="zh-CN"/>
    </w:rPr>
  </w:style>
  <w:style w:type="character" w:customStyle="1" w:styleId="123">
    <w:name w:val="HTML 预设格式 Char"/>
    <w:basedOn w:val="36"/>
    <w:link w:val="29"/>
    <w:qFormat/>
    <w:uiPriority w:val="99"/>
    <w:rPr>
      <w:rFonts w:ascii="宋体" w:hAnsi="宋体" w:eastAsia="宋体" w:cs="宋体"/>
      <w:kern w:val="0"/>
      <w:sz w:val="24"/>
      <w:szCs w:val="24"/>
    </w:rPr>
  </w:style>
  <w:style w:type="paragraph" w:customStyle="1" w:styleId="124">
    <w:name w:val="修订1"/>
    <w:hidden/>
    <w:semiHidden/>
    <w:qFormat/>
    <w:uiPriority w:val="99"/>
    <w:rPr>
      <w:rFonts w:ascii="Times New Roman" w:hAnsi="Times New Roman" w:eastAsia="宋体" w:cs="Times New Roman"/>
      <w:sz w:val="24"/>
      <w:szCs w:val="24"/>
      <w:lang w:val="en-US" w:eastAsia="zh-CN" w:bidi="ar-SA"/>
    </w:rPr>
  </w:style>
  <w:style w:type="paragraph" w:customStyle="1" w:styleId="125">
    <w:name w:val="列出段落12"/>
    <w:basedOn w:val="1"/>
    <w:qFormat/>
    <w:uiPriority w:val="0"/>
    <w:pPr>
      <w:ind w:firstLine="420" w:firstLineChars="200"/>
    </w:pPr>
    <w:rPr>
      <w:rFonts w:ascii="Calibri" w:hAnsi="Calibri"/>
    </w:rPr>
  </w:style>
  <w:style w:type="paragraph" w:customStyle="1" w:styleId="126">
    <w:name w:val="z-窗体顶端11"/>
    <w:basedOn w:val="1"/>
    <w:qFormat/>
    <w:uiPriority w:val="34"/>
    <w:pPr>
      <w:adjustRightInd w:val="0"/>
      <w:spacing w:line="276" w:lineRule="auto"/>
      <w:ind w:firstLine="420" w:firstLineChars="200"/>
      <w:textAlignment w:val="baseline"/>
    </w:pPr>
    <w:rPr>
      <w:rFonts w:ascii="Calibri" w:hAnsi="Calibri" w:eastAsia="Calibri"/>
      <w:color w:val="000000"/>
      <w:sz w:val="22"/>
      <w:szCs w:val="20"/>
      <w:lang w:val="zh-CN"/>
    </w:rPr>
  </w:style>
  <w:style w:type="paragraph" w:customStyle="1" w:styleId="127">
    <w:name w:val="修订11"/>
    <w:hidden/>
    <w:semiHidden/>
    <w:qFormat/>
    <w:uiPriority w:val="99"/>
    <w:rPr>
      <w:rFonts w:ascii="Times New Roman" w:hAnsi="Times New Roman" w:eastAsia="宋体" w:cs="Times New Roman"/>
      <w:sz w:val="24"/>
      <w:szCs w:val="24"/>
      <w:lang w:val="en-US" w:eastAsia="zh-CN" w:bidi="ar-SA"/>
    </w:rPr>
  </w:style>
  <w:style w:type="paragraph" w:customStyle="1" w:styleId="128">
    <w:name w:val="列出段落3"/>
    <w:basedOn w:val="1"/>
    <w:qFormat/>
    <w:uiPriority w:val="99"/>
    <w:pPr>
      <w:ind w:firstLine="420" w:firstLineChars="200"/>
    </w:pPr>
  </w:style>
  <w:style w:type="paragraph" w:customStyle="1" w:styleId="129">
    <w:name w:val="列出段落4"/>
    <w:basedOn w:val="1"/>
    <w:qFormat/>
    <w:uiPriority w:val="99"/>
    <w:pPr>
      <w:ind w:firstLine="420" w:firstLineChars="200"/>
    </w:pPr>
  </w:style>
  <w:style w:type="paragraph" w:customStyle="1" w:styleId="130">
    <w:name w:val="修订2"/>
    <w:hidden/>
    <w:semiHidden/>
    <w:qFormat/>
    <w:uiPriority w:val="99"/>
    <w:rPr>
      <w:rFonts w:ascii="Times New Roman" w:hAnsi="Times New Roman" w:eastAsia="宋体" w:cs="Times New Roman"/>
      <w:sz w:val="24"/>
      <w:szCs w:val="24"/>
      <w:lang w:val="en-US" w:eastAsia="zh-CN" w:bidi="ar-SA"/>
    </w:rPr>
  </w:style>
  <w:style w:type="paragraph" w:customStyle="1" w:styleId="131">
    <w:name w:val="zw"/>
    <w:basedOn w:val="1"/>
    <w:link w:val="132"/>
    <w:qFormat/>
    <w:uiPriority w:val="0"/>
    <w:pPr>
      <w:widowControl w:val="0"/>
      <w:spacing w:line="360" w:lineRule="auto"/>
      <w:ind w:firstLine="200" w:firstLineChars="200"/>
      <w:jc w:val="both"/>
    </w:pPr>
    <w:rPr>
      <w:rFonts w:ascii="仿宋_GB2312" w:eastAsia="仿宋_GB2312"/>
      <w:kern w:val="2"/>
      <w:sz w:val="28"/>
      <w:szCs w:val="28"/>
    </w:rPr>
  </w:style>
  <w:style w:type="character" w:customStyle="1" w:styleId="132">
    <w:name w:val="zw Char"/>
    <w:link w:val="131"/>
    <w:qFormat/>
    <w:uiPriority w:val="0"/>
    <w:rPr>
      <w:rFonts w:ascii="仿宋_GB2312" w:hAnsi="Times New Roman" w:eastAsia="仿宋_GB2312" w:cs="Times New Roman"/>
      <w:kern w:val="2"/>
      <w:sz w:val="28"/>
      <w:szCs w:val="28"/>
    </w:rPr>
  </w:style>
  <w:style w:type="paragraph" w:styleId="133">
    <w:name w:val="List Paragraph"/>
    <w:basedOn w:val="1"/>
    <w:unhideWhenUsed/>
    <w:qFormat/>
    <w:uiPriority w:val="34"/>
    <w:pPr>
      <w:ind w:firstLine="420" w:firstLineChars="200"/>
    </w:pPr>
  </w:style>
  <w:style w:type="character" w:customStyle="1" w:styleId="134">
    <w:name w:val="redfilefwwh"/>
    <w:basedOn w:val="36"/>
    <w:qFormat/>
    <w:uiPriority w:val="0"/>
    <w:rPr>
      <w:color w:val="BA2636"/>
      <w:sz w:val="18"/>
      <w:szCs w:val="18"/>
    </w:rPr>
  </w:style>
  <w:style w:type="character" w:customStyle="1" w:styleId="135">
    <w:name w:val="displayarti"/>
    <w:basedOn w:val="36"/>
    <w:qFormat/>
    <w:uiPriority w:val="0"/>
    <w:rPr>
      <w:color w:val="FFFFFF"/>
      <w:shd w:val="clear" w:color="auto" w:fill="A00000"/>
    </w:rPr>
  </w:style>
  <w:style w:type="character" w:customStyle="1" w:styleId="136">
    <w:name w:val="gjfg"/>
    <w:basedOn w:val="36"/>
    <w:qFormat/>
    <w:uiPriority w:val="0"/>
  </w:style>
  <w:style w:type="character" w:customStyle="1" w:styleId="137">
    <w:name w:val="cfdate"/>
    <w:basedOn w:val="36"/>
    <w:qFormat/>
    <w:uiPriority w:val="0"/>
    <w:rPr>
      <w:color w:val="333333"/>
      <w:sz w:val="18"/>
      <w:szCs w:val="18"/>
    </w:rPr>
  </w:style>
  <w:style w:type="character" w:customStyle="1" w:styleId="138">
    <w:name w:val="redfilenumber"/>
    <w:basedOn w:val="36"/>
    <w:qFormat/>
    <w:uiPriority w:val="0"/>
    <w:rPr>
      <w:color w:val="BA2636"/>
      <w:sz w:val="18"/>
      <w:szCs w:val="18"/>
    </w:rPr>
  </w:style>
  <w:style w:type="character" w:customStyle="1" w:styleId="139">
    <w:name w:val="qxdate"/>
    <w:basedOn w:val="36"/>
    <w:qFormat/>
    <w:uiPriority w:val="0"/>
    <w:rPr>
      <w:color w:val="333333"/>
      <w:sz w:val="18"/>
      <w:szCs w:val="18"/>
    </w:rPr>
  </w:style>
  <w:style w:type="paragraph" w:customStyle="1" w:styleId="140">
    <w:name w:val="Char Char Char1"/>
    <w:basedOn w:val="1"/>
    <w:qFormat/>
    <w:uiPriority w:val="0"/>
    <w:pPr>
      <w:widowControl w:val="0"/>
      <w:jc w:val="both"/>
    </w:pPr>
    <w:rPr>
      <w:rFonts w:ascii="Tahoma" w:hAnsi="Tahoma"/>
      <w:kern w:val="2"/>
      <w:szCs w:val="20"/>
    </w:rPr>
  </w:style>
  <w:style w:type="paragraph" w:styleId="141">
    <w:name w:val="No Spacing"/>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42">
    <w:name w:val="_Style 85"/>
    <w:qFormat/>
    <w:uiPriority w:val="99"/>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143">
    <w:name w:val="p4"/>
    <w:basedOn w:val="4"/>
    <w:qFormat/>
    <w:uiPriority w:val="0"/>
    <w:pPr>
      <w:keepNext w:val="0"/>
      <w:keepLines w:val="0"/>
    </w:pPr>
    <w:rPr>
      <w:rFonts w:ascii="仿宋" w:hAnsi="仿宋" w:eastAsia="仿宋" w:cs="仿宋"/>
      <w:b/>
    </w:rPr>
  </w:style>
  <w:style w:type="paragraph" w:customStyle="1" w:styleId="144">
    <w:name w:val="纯文本1"/>
    <w:basedOn w:val="1"/>
    <w:qFormat/>
    <w:uiPriority w:val="0"/>
    <w:rPr>
      <w:rFonts w:ascii="宋体" w:hAnsi="Courier New"/>
      <w:szCs w:val="20"/>
    </w:rPr>
  </w:style>
  <w:style w:type="paragraph" w:customStyle="1" w:styleId="145">
    <w:name w:val="2222"/>
    <w:basedOn w:val="1"/>
    <w:qFormat/>
    <w:uiPriority w:val="0"/>
    <w:pPr>
      <w:spacing w:line="360" w:lineRule="auto"/>
      <w:ind w:firstLine="200" w:firstLineChars="200"/>
      <w:jc w:val="both"/>
      <w:outlineLvl w:val="1"/>
    </w:pPr>
    <w:rPr>
      <w:rFonts w:ascii="宋体" w:hAnsi="宋体"/>
      <w:b/>
      <w:kern w:val="2"/>
      <w:szCs w:val="28"/>
    </w:rPr>
  </w:style>
  <w:style w:type="paragraph" w:customStyle="1" w:styleId="146">
    <w:name w:val="第3级目录"/>
    <w:basedOn w:val="1"/>
    <w:qFormat/>
    <w:uiPriority w:val="0"/>
    <w:pPr>
      <w:widowControl w:val="0"/>
      <w:spacing w:line="360" w:lineRule="auto"/>
      <w:ind w:firstLine="200" w:firstLineChars="200"/>
      <w:jc w:val="both"/>
      <w:outlineLvl w:val="2"/>
    </w:pPr>
    <w:rPr>
      <w:b/>
      <w:kern w:val="2"/>
    </w:rPr>
  </w:style>
  <w:style w:type="paragraph" w:customStyle="1" w:styleId="147">
    <w:name w:val="Table Paragraph"/>
    <w:basedOn w:val="1"/>
    <w:qFormat/>
    <w:uiPriority w:val="1"/>
  </w:style>
  <w:style w:type="paragraph" w:customStyle="1" w:styleId="148">
    <w:name w:val="p0"/>
    <w:basedOn w:val="1"/>
    <w:qFormat/>
    <w:uiPriority w:val="0"/>
  </w:style>
  <w:style w:type="character" w:customStyle="1" w:styleId="149">
    <w:name w:val="15"/>
    <w:qFormat/>
    <w:uiPriority w:val="0"/>
    <w:rPr>
      <w:rFonts w:hint="default" w:ascii="Times New Roman" w:hAnsi="Times New Roman" w:cs="Times New Roman"/>
      <w:color w:val="464445"/>
      <w:u w:val="none"/>
    </w:rPr>
  </w:style>
  <w:style w:type="character" w:customStyle="1" w:styleId="150">
    <w:name w:val="副标题 Char"/>
    <w:link w:val="26"/>
    <w:qFormat/>
    <w:uiPriority w:val="99"/>
    <w:rPr>
      <w:rFonts w:ascii="Arial" w:hAnsi="Arial"/>
      <w:b/>
      <w:bCs/>
      <w:kern w:val="28"/>
      <w:sz w:val="32"/>
      <w:szCs w:val="32"/>
    </w:rPr>
  </w:style>
  <w:style w:type="paragraph" w:customStyle="1" w:styleId="151">
    <w:name w:val="pa-0"/>
    <w:basedOn w:val="1"/>
    <w:qFormat/>
    <w:uiPriority w:val="0"/>
    <w:pPr>
      <w:spacing w:before="200" w:after="200"/>
    </w:pPr>
  </w:style>
  <w:style w:type="character" w:customStyle="1" w:styleId="152">
    <w:name w:val="ca-6"/>
    <w:basedOn w:val="36"/>
    <w:qFormat/>
    <w:uiPriority w:val="0"/>
  </w:style>
  <w:style w:type="character" w:customStyle="1" w:styleId="153">
    <w:name w:val="font01"/>
    <w:basedOn w:val="36"/>
    <w:qFormat/>
    <w:uiPriority w:val="0"/>
    <w:rPr>
      <w:rFonts w:hint="eastAsia" w:ascii="宋体" w:hAnsi="宋体" w:eastAsia="宋体" w:cs="宋体"/>
      <w:color w:val="000000"/>
      <w:sz w:val="28"/>
      <w:szCs w:val="28"/>
      <w:u w:val="none"/>
    </w:rPr>
  </w:style>
  <w:style w:type="character" w:customStyle="1" w:styleId="154">
    <w:name w:val="font21"/>
    <w:basedOn w:val="36"/>
    <w:qFormat/>
    <w:uiPriority w:val="0"/>
    <w:rPr>
      <w:rFonts w:hint="default" w:ascii="Times New Roman" w:hAnsi="Times New Roman" w:cs="Times New Roman"/>
      <w:color w:val="000000"/>
      <w:sz w:val="28"/>
      <w:szCs w:val="28"/>
      <w:u w:val="none"/>
    </w:rPr>
  </w:style>
  <w:style w:type="character" w:customStyle="1" w:styleId="155">
    <w:name w:val="NormalCharacter"/>
    <w:qFormat/>
    <w:uiPriority w:val="0"/>
    <w:rPr>
      <w:kern w:val="2"/>
      <w:sz w:val="21"/>
      <w:szCs w:val="24"/>
      <w:lang w:val="en-US" w:eastAsia="zh-CN" w:bidi="ar-SA"/>
    </w:rPr>
  </w:style>
  <w:style w:type="paragraph" w:customStyle="1" w:styleId="15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table" w:customStyle="1" w:styleId="157">
    <w:name w:val="Table Normal"/>
    <w:semiHidden/>
    <w:unhideWhenUsed/>
    <w:qFormat/>
    <w:uiPriority w:val="0"/>
    <w:tblPr>
      <w:tblCellMar>
        <w:top w:w="0" w:type="dxa"/>
        <w:left w:w="0" w:type="dxa"/>
        <w:bottom w:w="0" w:type="dxa"/>
        <w:right w:w="0" w:type="dxa"/>
      </w:tblCellMar>
    </w:tblPr>
  </w:style>
  <w:style w:type="character" w:customStyle="1" w:styleId="158">
    <w:name w:val="font41"/>
    <w:basedOn w:val="36"/>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39</Pages>
  <Words>4008</Words>
  <Characters>4210</Characters>
  <Lines>1</Lines>
  <Paragraphs>1</Paragraphs>
  <TotalTime>14</TotalTime>
  <ScaleCrop>false</ScaleCrop>
  <LinksUpToDate>false</LinksUpToDate>
  <CharactersWithSpaces>4373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2021-09-10T08:40:00Z</dcterms:created>
  <dc:creator>采购1</dc:creator>
  <cp:lastModifiedBy>周</cp:lastModifiedBy>
  <cp:lastPrinted>2025-01-09T06:22:00Z</cp:lastPrinted>
  <dcterms:modified xsi:type="dcterms:W3CDTF">2025-04-03T07:26:57Z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550658BA4B2B494D85441BC7CCE5E2AE_13</vt:lpwstr>
  </property>
  <property fmtid="{D5CDD505-2E9C-101B-9397-08002B2CF9AE}" pid="4" name="KSOTemplateDocerSaveRecord">
    <vt:lpwstr>eyJoZGlkIjoiODk1NTQwOTIwMzJkMDNkZjdkN2YyM2NlN2Q3NTMzNGMiLCJ1c2VySWQiOiI1NDcxMjA3OTUifQ==</vt:lpwstr>
  </property>
</Properties>
</file>