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E6B58C">
      <w:pPr>
        <w:spacing w:line="560" w:lineRule="exact"/>
        <w:jc w:val="center"/>
        <w:rPr>
          <w:rFonts w:hint="eastAsia" w:ascii="方正小标宋简体" w:hAnsi="方正小标宋简体" w:eastAsia="方正小标宋简体" w:cs="方正小标宋简体"/>
          <w:sz w:val="56"/>
          <w:szCs w:val="56"/>
        </w:rPr>
      </w:pPr>
    </w:p>
    <w:p w14:paraId="1F1FE783">
      <w:pPr>
        <w:jc w:val="center"/>
        <w:rPr>
          <w:rFonts w:hint="eastAsia" w:ascii="方正小标宋简体" w:hAnsi="方正小标宋简体" w:eastAsia="方正小标宋简体" w:cs="方正小标宋简体"/>
          <w:sz w:val="56"/>
          <w:szCs w:val="56"/>
        </w:rPr>
      </w:pPr>
      <w:r>
        <w:rPr>
          <w:rFonts w:hint="eastAsia" w:ascii="方正小标宋简体" w:hAnsi="方正小标宋简体" w:eastAsia="方正小标宋简体" w:cs="方正小标宋简体"/>
          <w:sz w:val="56"/>
          <w:szCs w:val="56"/>
        </w:rPr>
        <w:t>储备油委托代保管协议书</w:t>
      </w:r>
    </w:p>
    <w:p w14:paraId="3DD5546D">
      <w:pPr>
        <w:jc w:val="center"/>
        <w:rPr>
          <w:rFonts w:hint="eastAsia" w:ascii="方正小标宋简体" w:hAnsi="方正小标宋简体" w:eastAsia="方正小标宋简体" w:cs="方正小标宋简体"/>
          <w:sz w:val="56"/>
          <w:szCs w:val="56"/>
        </w:rPr>
      </w:pPr>
      <w:r>
        <w:rPr>
          <w:rFonts w:hint="eastAsia" w:ascii="方正小标宋简体" w:hAnsi="方正小标宋简体" w:eastAsia="方正小标宋简体" w:cs="方正小标宋简体"/>
          <w:sz w:val="56"/>
          <w:szCs w:val="56"/>
        </w:rPr>
        <w:t>（服务类）</w:t>
      </w:r>
    </w:p>
    <w:p w14:paraId="5B89BEA3">
      <w:pPr>
        <w:rPr>
          <w:rFonts w:hint="eastAsia" w:ascii="方正仿宋_GB2312" w:hAnsi="方正仿宋_GB2312" w:eastAsia="方正仿宋_GB2312" w:cs="方正仿宋_GB2312"/>
          <w:sz w:val="32"/>
          <w:szCs w:val="32"/>
        </w:rPr>
      </w:pPr>
    </w:p>
    <w:p w14:paraId="5F53C7A8">
      <w:pPr>
        <w:rPr>
          <w:rFonts w:hint="eastAsia" w:ascii="方正仿宋_GB2312" w:hAnsi="方正仿宋_GB2312" w:eastAsia="方正仿宋_GB2312" w:cs="方正仿宋_GB2312"/>
          <w:sz w:val="32"/>
          <w:szCs w:val="32"/>
        </w:rPr>
      </w:pPr>
    </w:p>
    <w:p w14:paraId="63A719B6">
      <w:pPr>
        <w:rPr>
          <w:rFonts w:hint="eastAsia" w:ascii="方正仿宋_GB2312" w:hAnsi="方正仿宋_GB2312" w:eastAsia="方正仿宋_GB2312" w:cs="方正仿宋_GB2312"/>
          <w:sz w:val="32"/>
          <w:szCs w:val="32"/>
        </w:rPr>
      </w:pPr>
    </w:p>
    <w:p w14:paraId="4634EF6B">
      <w:pPr>
        <w:rPr>
          <w:rFonts w:hint="eastAsia" w:ascii="方正仿宋_GB2312" w:hAnsi="方正仿宋_GB2312" w:eastAsia="方正仿宋_GB2312" w:cs="方正仿宋_GB2312"/>
          <w:sz w:val="32"/>
          <w:szCs w:val="32"/>
        </w:rPr>
      </w:pPr>
    </w:p>
    <w:p w14:paraId="7DBAAED0">
      <w:pPr>
        <w:rPr>
          <w:rFonts w:hint="eastAsia" w:ascii="方正仿宋_GB2312" w:hAnsi="方正仿宋_GB2312" w:eastAsia="方正仿宋_GB2312" w:cs="方正仿宋_GB2312"/>
          <w:sz w:val="32"/>
          <w:szCs w:val="32"/>
        </w:rPr>
      </w:pPr>
    </w:p>
    <w:p w14:paraId="166A0C41">
      <w:pPr>
        <w:rPr>
          <w:rFonts w:hint="eastAsia" w:ascii="方正仿宋_GB2312" w:hAnsi="方正仿宋_GB2312" w:eastAsia="方正仿宋_GB2312" w:cs="方正仿宋_GB2312"/>
          <w:sz w:val="32"/>
          <w:szCs w:val="32"/>
        </w:rPr>
      </w:pPr>
    </w:p>
    <w:p w14:paraId="060420D4">
      <w:pPr>
        <w:rPr>
          <w:rFonts w:hint="eastAsia" w:ascii="方正仿宋_GB2312" w:hAnsi="方正仿宋_GB2312" w:eastAsia="方正仿宋_GB2312" w:cs="方正仿宋_GB2312"/>
          <w:sz w:val="32"/>
          <w:szCs w:val="32"/>
        </w:rPr>
      </w:pPr>
    </w:p>
    <w:p w14:paraId="24A309E6">
      <w:pPr>
        <w:rPr>
          <w:rFonts w:hint="eastAsia" w:ascii="方正仿宋_GB2312" w:hAnsi="方正仿宋_GB2312" w:eastAsia="方正仿宋_GB2312" w:cs="方正仿宋_GB2312"/>
          <w:sz w:val="32"/>
          <w:szCs w:val="32"/>
        </w:rPr>
      </w:pPr>
    </w:p>
    <w:p w14:paraId="62110097">
      <w:pPr>
        <w:rPr>
          <w:rFonts w:hint="eastAsia" w:ascii="方正仿宋_GB2312" w:hAnsi="方正仿宋_GB2312" w:eastAsia="方正仿宋_GB2312" w:cs="方正仿宋_GB2312"/>
          <w:sz w:val="32"/>
          <w:szCs w:val="32"/>
        </w:rPr>
      </w:pPr>
    </w:p>
    <w:p w14:paraId="1E401528">
      <w:pPr>
        <w:rPr>
          <w:rFonts w:hint="eastAsia" w:ascii="方正仿宋_GB2312" w:hAnsi="方正仿宋_GB2312" w:eastAsia="方正仿宋_GB2312" w:cs="方正仿宋_GB2312"/>
          <w:sz w:val="32"/>
          <w:szCs w:val="32"/>
        </w:rPr>
      </w:pPr>
    </w:p>
    <w:p w14:paraId="5ECF10A0">
      <w:pPr>
        <w:rPr>
          <w:rFonts w:hint="eastAsia" w:ascii="方正仿宋_GB2312" w:hAnsi="方正仿宋_GB2312" w:eastAsia="方正仿宋_GB2312" w:cs="方正仿宋_GB2312"/>
          <w:sz w:val="32"/>
          <w:szCs w:val="32"/>
        </w:rPr>
      </w:pPr>
    </w:p>
    <w:p w14:paraId="0205AB99">
      <w:pPr>
        <w:rPr>
          <w:rFonts w:hint="eastAsia" w:ascii="方正仿宋_GB2312" w:hAnsi="方正仿宋_GB2312" w:eastAsia="方正仿宋_GB2312" w:cs="方正仿宋_GB2312"/>
          <w:sz w:val="32"/>
          <w:szCs w:val="32"/>
        </w:rPr>
      </w:pPr>
    </w:p>
    <w:p w14:paraId="75115FD8">
      <w:pPr>
        <w:rPr>
          <w:rFonts w:hint="eastAsia" w:ascii="方正仿宋_GB2312" w:hAnsi="方正仿宋_GB2312" w:eastAsia="方正仿宋_GB2312" w:cs="方正仿宋_GB2312"/>
          <w:sz w:val="32"/>
          <w:szCs w:val="32"/>
        </w:rPr>
      </w:pPr>
    </w:p>
    <w:p w14:paraId="3C302CB4">
      <w:pPr>
        <w:rPr>
          <w:rFonts w:hint="eastAsia" w:ascii="方正仿宋_GB2312" w:hAnsi="方正仿宋_GB2312" w:eastAsia="方正仿宋_GB2312" w:cs="方正仿宋_GB2312"/>
          <w:sz w:val="32"/>
          <w:szCs w:val="32"/>
        </w:rPr>
      </w:pPr>
    </w:p>
    <w:p w14:paraId="6C10DFC2">
      <w:pPr>
        <w:rPr>
          <w:rFonts w:hint="eastAsia"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32"/>
          <w:szCs w:val="32"/>
        </w:rPr>
        <w:t>合同编号：</w:t>
      </w:r>
    </w:p>
    <w:p w14:paraId="34B75E95">
      <w:pPr>
        <w:rPr>
          <w:rFonts w:hint="eastAsia" w:ascii="方正仿宋_GB2312" w:hAnsi="方正仿宋_GB2312" w:eastAsia="方正仿宋_GB2312" w:cs="方正仿宋_GB2312"/>
          <w:sz w:val="32"/>
          <w:szCs w:val="32"/>
        </w:rPr>
      </w:pPr>
      <w:r>
        <w:rPr>
          <w:rFonts w:hint="eastAsia" w:ascii="方正小标宋简体" w:hAnsi="方正小标宋简体" w:eastAsia="方正小标宋简体" w:cs="方正小标宋简体"/>
          <w:sz w:val="32"/>
          <w:szCs w:val="32"/>
        </w:rPr>
        <w:t>项目名称：贵阳市粮食储备管理有限公司储备油委托代保管</w:t>
      </w:r>
    </w:p>
    <w:p w14:paraId="30B3325C">
      <w:pPr>
        <w:rPr>
          <w:rFonts w:hint="eastAsia" w:ascii="方正仿宋_GB2312" w:hAnsi="方正仿宋_GB2312" w:eastAsia="方正仿宋_GB2312" w:cs="方正仿宋_GB2312"/>
          <w:sz w:val="32"/>
          <w:szCs w:val="32"/>
        </w:rPr>
      </w:pPr>
    </w:p>
    <w:p w14:paraId="196997BC">
      <w:pPr>
        <w:rPr>
          <w:rFonts w:hint="eastAsia" w:ascii="方正仿宋_GB2312" w:hAnsi="方正仿宋_GB2312" w:eastAsia="方正仿宋_GB2312" w:cs="方正仿宋_GB2312"/>
          <w:sz w:val="32"/>
          <w:szCs w:val="32"/>
        </w:rPr>
      </w:pPr>
    </w:p>
    <w:p w14:paraId="17BA0883">
      <w:pPr>
        <w:spacing w:line="56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甲方：贵阳市粮食储备管理有限公司（以下简称“甲方”）</w:t>
      </w:r>
    </w:p>
    <w:p w14:paraId="27AF1B7F">
      <w:pPr>
        <w:spacing w:line="56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统一社会信用代码：</w:t>
      </w:r>
    </w:p>
    <w:p w14:paraId="38314A49">
      <w:pPr>
        <w:spacing w:line="560" w:lineRule="exac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法定代表人</w:t>
      </w:r>
      <w:r>
        <w:rPr>
          <w:rFonts w:hint="eastAsia" w:ascii="仿宋_GB2312" w:hAnsi="仿宋_GB2312" w:eastAsia="仿宋_GB2312" w:cs="仿宋_GB2312"/>
          <w:sz w:val="32"/>
          <w:szCs w:val="32"/>
          <w:lang w:eastAsia="zh-CN"/>
        </w:rPr>
        <w:t>：</w:t>
      </w:r>
    </w:p>
    <w:p w14:paraId="4AF5A0CD">
      <w:pPr>
        <w:spacing w:line="560" w:lineRule="exac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联系人：</w:t>
      </w:r>
    </w:p>
    <w:p w14:paraId="4CE29C87">
      <w:pPr>
        <w:spacing w:line="560" w:lineRule="exac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联系电话：</w:t>
      </w:r>
    </w:p>
    <w:p w14:paraId="45CC74E7">
      <w:pPr>
        <w:spacing w:line="56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通讯地址：</w:t>
      </w:r>
    </w:p>
    <w:p w14:paraId="70DBF12A">
      <w:pPr>
        <w:spacing w:line="560" w:lineRule="exac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乙方：</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（以下简称“乙方”）</w:t>
      </w:r>
    </w:p>
    <w:p w14:paraId="05DDBAB7">
      <w:pPr>
        <w:spacing w:line="56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统一社会信用代码：</w:t>
      </w:r>
    </w:p>
    <w:p w14:paraId="346F4010">
      <w:pPr>
        <w:spacing w:line="560" w:lineRule="exac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 xml:space="preserve">法定代表人: </w:t>
      </w:r>
    </w:p>
    <w:p w14:paraId="235023FA">
      <w:pPr>
        <w:spacing w:line="560" w:lineRule="exac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联系人：</w:t>
      </w:r>
    </w:p>
    <w:p w14:paraId="35242B88">
      <w:pPr>
        <w:spacing w:line="560" w:lineRule="exac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联系电话：</w:t>
      </w:r>
    </w:p>
    <w:p w14:paraId="0440B8A9">
      <w:pPr>
        <w:spacing w:line="56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通讯地址：</w:t>
      </w:r>
    </w:p>
    <w:p w14:paraId="4652C724">
      <w:pPr>
        <w:spacing w:line="560" w:lineRule="exac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开户银行：</w:t>
      </w:r>
    </w:p>
    <w:p w14:paraId="2DC64F49">
      <w:pPr>
        <w:spacing w:line="560" w:lineRule="exac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账</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号：</w:t>
      </w:r>
    </w:p>
    <w:p w14:paraId="4C36FCAE">
      <w:pPr>
        <w:spacing w:line="560" w:lineRule="exact"/>
        <w:ind w:firstLine="640" w:firstLineChars="200"/>
        <w:rPr>
          <w:rFonts w:hint="eastAsia" w:ascii="方正仿宋_GB2312" w:hAnsi="方正仿宋_GB2312" w:eastAsia="方正仿宋_GB2312" w:cs="方正仿宋_GB2312"/>
          <w:sz w:val="32"/>
          <w:szCs w:val="32"/>
        </w:rPr>
      </w:pPr>
    </w:p>
    <w:p w14:paraId="4FCC0FBD">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根据《中华人民共和国民法典》《贵州省粮食安全保障条例》《贵阳市市级储备粮油管理办法》等有关规定，甲乙双方就贵阳市市级储备</w:t>
      </w:r>
      <w:r>
        <w:rPr>
          <w:rFonts w:hint="eastAsia" w:ascii="仿宋_GB2312" w:hAnsi="仿宋_GB2312" w:eastAsia="仿宋_GB2312" w:cs="仿宋_GB2312"/>
          <w:sz w:val="32"/>
          <w:szCs w:val="32"/>
          <w:lang w:eastAsia="zh-CN"/>
        </w:rPr>
        <w:t>油</w:t>
      </w:r>
      <w:r>
        <w:rPr>
          <w:rFonts w:hint="eastAsia" w:ascii="仿宋_GB2312" w:hAnsi="仿宋_GB2312" w:eastAsia="仿宋_GB2312" w:cs="仿宋_GB2312"/>
          <w:sz w:val="32"/>
          <w:szCs w:val="32"/>
        </w:rPr>
        <w:t>委托代保管事宜，为明确双方责任和义务，经协商一致，签订本合同。</w:t>
      </w:r>
    </w:p>
    <w:p w14:paraId="676232E6">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一、油权权属</w:t>
      </w:r>
    </w:p>
    <w:p w14:paraId="008716DC">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贵阳市市级储备油所有权归属于贵阳市人民政府。乙方不得擅自动用或以任何形式将该批市级储备油用于抵质押贷款、开展融资活动、提供担保、清偿债务和进行期现货实物交割等。</w:t>
      </w:r>
    </w:p>
    <w:p w14:paraId="542A37E3">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二、储存地点、货位、品种、数量、质量</w:t>
      </w:r>
    </w:p>
    <w:p w14:paraId="51B6F6C0">
      <w:pPr>
        <w:spacing w:line="56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1.储存地点及货位：</w:t>
      </w:r>
    </w:p>
    <w:p w14:paraId="6B44D146">
      <w:pPr>
        <w:spacing w:line="56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品种</w:t>
      </w:r>
      <w:r>
        <w:rPr>
          <w:rFonts w:hint="eastAsia" w:ascii="仿宋_GB2312" w:hAnsi="仿宋_GB2312" w:eastAsia="仿宋_GB2312" w:cs="仿宋_GB2312"/>
          <w:sz w:val="32"/>
          <w:szCs w:val="32"/>
          <w:lang w:eastAsia="zh-CN"/>
        </w:rPr>
        <w:t>：</w:t>
      </w:r>
    </w:p>
    <w:p w14:paraId="144FE1C2">
      <w:pPr>
        <w:spacing w:line="56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3.数量：</w:t>
      </w:r>
    </w:p>
    <w:p w14:paraId="271E102D">
      <w:pPr>
        <w:spacing w:line="56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质量标准</w:t>
      </w:r>
      <w:r>
        <w:rPr>
          <w:rFonts w:hint="eastAsia" w:ascii="仿宋_GB2312" w:hAnsi="仿宋_GB2312" w:eastAsia="仿宋_GB2312" w:cs="仿宋_GB2312"/>
          <w:sz w:val="32"/>
          <w:szCs w:val="32"/>
          <w:lang w:eastAsia="zh-CN"/>
        </w:rPr>
        <w:t>：</w:t>
      </w:r>
    </w:p>
    <w:p w14:paraId="72A343C5">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三、代储费用及支付方式</w:t>
      </w:r>
    </w:p>
    <w:p w14:paraId="743104D4">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1.代储费用：费用实行包干制，单价为</w:t>
      </w:r>
      <w:r>
        <w:rPr>
          <w:rFonts w:hint="eastAsia" w:ascii="仿宋_GB2312" w:hAnsi="仿宋_GB2312" w:eastAsia="仿宋_GB2312" w:cs="仿宋_GB2312"/>
          <w:sz w:val="32"/>
          <w:szCs w:val="32"/>
          <w:lang w:val="en-US" w:eastAsia="zh-CN"/>
        </w:rPr>
        <w:t>XX</w:t>
      </w:r>
      <w:r>
        <w:rPr>
          <w:rFonts w:hint="eastAsia" w:ascii="仿宋_GB2312" w:hAnsi="仿宋_GB2312" w:eastAsia="仿宋_GB2312" w:cs="仿宋_GB2312"/>
          <w:sz w:val="32"/>
          <w:szCs w:val="32"/>
        </w:rPr>
        <w:t>元/ 吨·年(含税价)，包含不限于仓储管理费用、出入库设施设备使用、空罐清消、水电费、逐车预检、熏蒸药剂采购及备案作业、税费等一切费用。</w:t>
      </w:r>
    </w:p>
    <w:p w14:paraId="20660994">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2.支付方式：按季度支付，凭有效发票结算支付。</w:t>
      </w:r>
    </w:p>
    <w:p w14:paraId="523D8FEE">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3.付款期限：</w:t>
      </w:r>
      <w:r>
        <w:rPr>
          <w:rFonts w:hint="eastAsia" w:ascii="仿宋_GB2312" w:hAnsi="仿宋_GB2312" w:eastAsia="仿宋_GB2312" w:cs="仿宋_GB2312"/>
          <w:sz w:val="32"/>
          <w:szCs w:val="32"/>
          <w:lang w:val="en-US" w:eastAsia="zh-CN"/>
        </w:rPr>
        <w:t>市</w:t>
      </w:r>
      <w:r>
        <w:rPr>
          <w:rFonts w:hint="eastAsia" w:ascii="仿宋_GB2312" w:hAnsi="仿宋_GB2312" w:eastAsia="仿宋_GB2312" w:cs="仿宋_GB2312"/>
          <w:sz w:val="32"/>
          <w:szCs w:val="32"/>
        </w:rPr>
        <w:t>财政资金拨付到甲方账户后五个工作日内支付给乙方。</w:t>
      </w:r>
    </w:p>
    <w:p w14:paraId="06428900">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4.代储费拨付条件及起止时间：以罐为单位，经贵阳市粮食和物资储备局组织会同相关部门出具综合验收合格报告后，交由乙方代储。起始时间以验收合格之日起算，至该罐轮换出库完毕止。</w:t>
      </w:r>
    </w:p>
    <w:p w14:paraId="090F738B">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5.合同履行期限：合同有效期为</w:t>
      </w:r>
      <w:r>
        <w:rPr>
          <w:rFonts w:hint="eastAsia" w:ascii="仿宋_GB2312" w:hAnsi="仿宋_GB2312" w:eastAsia="仿宋_GB2312" w:cs="仿宋_GB2312"/>
          <w:sz w:val="32"/>
          <w:szCs w:val="32"/>
          <w:lang w:val="en-US" w:eastAsia="zh-CN"/>
        </w:rPr>
        <w:t>综合验收合格之日</w:t>
      </w:r>
      <w:r>
        <w:rPr>
          <w:rFonts w:hint="eastAsia" w:ascii="仿宋_GB2312" w:hAnsi="仿宋_GB2312" w:eastAsia="仿宋_GB2312" w:cs="仿宋_GB2312"/>
          <w:sz w:val="32"/>
          <w:szCs w:val="32"/>
        </w:rPr>
        <w:t>起至出库完毕之日为止，如遇特殊情况，由甲乙双方自行协商确定。如因政策变动等特殊原因储存延期，可续签合同。合同期满正在出库但尚未出库完毕，仍按照本合同单价支付具体延长时间保管费。</w:t>
      </w:r>
    </w:p>
    <w:p w14:paraId="787D90E8">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四、甲方权利和义务</w:t>
      </w:r>
    </w:p>
    <w:p w14:paraId="2A9CCE5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入库：</w:t>
      </w:r>
      <w:r>
        <w:rPr>
          <w:rFonts w:hint="eastAsia" w:ascii="仿宋_GB2312" w:hAnsi="仿宋_GB2312" w:eastAsia="仿宋_GB2312" w:cs="仿宋_GB2312"/>
          <w:sz w:val="32"/>
          <w:szCs w:val="32"/>
          <w:lang w:val="en-US" w:eastAsia="zh-CN"/>
        </w:rPr>
        <w:t>储备油</w:t>
      </w:r>
      <w:r>
        <w:rPr>
          <w:rFonts w:hint="eastAsia" w:ascii="仿宋_GB2312" w:hAnsi="仿宋_GB2312" w:eastAsia="仿宋_GB2312" w:cs="仿宋_GB2312"/>
          <w:sz w:val="32"/>
          <w:szCs w:val="32"/>
        </w:rPr>
        <w:t>入库前5天甲方通知乙方来</w:t>
      </w:r>
      <w:r>
        <w:rPr>
          <w:rFonts w:hint="eastAsia" w:ascii="仿宋_GB2312" w:hAnsi="仿宋_GB2312" w:eastAsia="仿宋_GB2312" w:cs="仿宋_GB2312"/>
          <w:sz w:val="32"/>
          <w:szCs w:val="32"/>
          <w:lang w:val="en-US" w:eastAsia="zh-CN"/>
        </w:rPr>
        <w:t>油</w:t>
      </w:r>
      <w:r>
        <w:rPr>
          <w:rFonts w:hint="eastAsia" w:ascii="仿宋_GB2312" w:hAnsi="仿宋_GB2312" w:eastAsia="仿宋_GB2312" w:cs="仿宋_GB2312"/>
          <w:sz w:val="32"/>
          <w:szCs w:val="32"/>
        </w:rPr>
        <w:t>地点、数量、预估每天入库量，乙方做好接</w:t>
      </w:r>
      <w:r>
        <w:rPr>
          <w:rFonts w:hint="eastAsia" w:ascii="仿宋_GB2312" w:hAnsi="仿宋_GB2312" w:eastAsia="仿宋_GB2312" w:cs="仿宋_GB2312"/>
          <w:sz w:val="32"/>
          <w:szCs w:val="32"/>
          <w:lang w:val="en-US" w:eastAsia="zh-CN"/>
        </w:rPr>
        <w:t>油</w:t>
      </w:r>
      <w:r>
        <w:rPr>
          <w:rFonts w:hint="eastAsia" w:ascii="仿宋_GB2312" w:hAnsi="仿宋_GB2312" w:eastAsia="仿宋_GB2312" w:cs="仿宋_GB2312"/>
          <w:sz w:val="32"/>
          <w:szCs w:val="32"/>
        </w:rPr>
        <w:t>准备。</w:t>
      </w:r>
    </w:p>
    <w:p w14:paraId="0D7DD7F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验收：</w:t>
      </w:r>
      <w:r>
        <w:rPr>
          <w:rFonts w:hint="eastAsia" w:ascii="仿宋_GB2312" w:hAnsi="仿宋_GB2312" w:eastAsia="仿宋_GB2312" w:cs="仿宋_GB2312"/>
          <w:sz w:val="32"/>
          <w:szCs w:val="32"/>
          <w:lang w:val="en-US" w:eastAsia="zh-CN"/>
        </w:rPr>
        <w:t>经贵阳市粮食和物资储备局</w:t>
      </w:r>
      <w:r>
        <w:rPr>
          <w:rFonts w:hint="eastAsia" w:ascii="仿宋_GB2312" w:hAnsi="仿宋_GB2312" w:eastAsia="仿宋_GB2312" w:cs="仿宋_GB2312"/>
          <w:sz w:val="32"/>
          <w:szCs w:val="32"/>
        </w:rPr>
        <w:t>对</w:t>
      </w:r>
      <w:r>
        <w:rPr>
          <w:rFonts w:hint="eastAsia" w:ascii="仿宋_GB2312" w:hAnsi="仿宋_GB2312" w:eastAsia="仿宋_GB2312" w:cs="仿宋_GB2312"/>
          <w:sz w:val="32"/>
          <w:szCs w:val="32"/>
          <w:lang w:val="en-US" w:eastAsia="zh-CN"/>
        </w:rPr>
        <w:t>储备油</w:t>
      </w:r>
      <w:r>
        <w:rPr>
          <w:rFonts w:hint="eastAsia" w:ascii="仿宋_GB2312" w:hAnsi="仿宋_GB2312" w:eastAsia="仿宋_GB2312" w:cs="仿宋_GB2312"/>
          <w:sz w:val="32"/>
          <w:szCs w:val="32"/>
        </w:rPr>
        <w:t>品种、数量、质量等内容进行</w:t>
      </w:r>
      <w:r>
        <w:rPr>
          <w:rFonts w:hint="eastAsia" w:ascii="仿宋_GB2312" w:hAnsi="仿宋_GB2312" w:eastAsia="仿宋_GB2312" w:cs="仿宋_GB2312"/>
          <w:sz w:val="32"/>
          <w:szCs w:val="32"/>
          <w:lang w:val="en-US" w:eastAsia="zh-CN"/>
        </w:rPr>
        <w:t>综合验收合格后</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移交</w:t>
      </w:r>
      <w:r>
        <w:rPr>
          <w:rFonts w:hint="eastAsia" w:ascii="仿宋_GB2312" w:hAnsi="仿宋_GB2312" w:eastAsia="仿宋_GB2312" w:cs="仿宋_GB2312"/>
          <w:sz w:val="32"/>
          <w:szCs w:val="32"/>
        </w:rPr>
        <w:t>乙方代保管。</w:t>
      </w:r>
    </w:p>
    <w:p w14:paraId="74FE3493">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存储期：甲方不定期到储</w:t>
      </w:r>
      <w:r>
        <w:rPr>
          <w:rFonts w:hint="eastAsia" w:ascii="仿宋_GB2312" w:hAnsi="仿宋_GB2312" w:eastAsia="仿宋_GB2312" w:cs="仿宋_GB2312"/>
          <w:sz w:val="32"/>
          <w:szCs w:val="32"/>
          <w:lang w:val="en-US" w:eastAsia="zh-CN"/>
        </w:rPr>
        <w:t>油</w:t>
      </w:r>
      <w:r>
        <w:rPr>
          <w:rFonts w:hint="eastAsia" w:ascii="仿宋_GB2312" w:hAnsi="仿宋_GB2312" w:eastAsia="仿宋_GB2312" w:cs="仿宋_GB2312"/>
          <w:sz w:val="32"/>
          <w:szCs w:val="32"/>
        </w:rPr>
        <w:t>库点检查</w:t>
      </w:r>
      <w:r>
        <w:rPr>
          <w:rFonts w:hint="eastAsia" w:ascii="仿宋_GB2312" w:hAnsi="仿宋_GB2312" w:eastAsia="仿宋_GB2312" w:cs="仿宋_GB2312"/>
          <w:sz w:val="32"/>
          <w:szCs w:val="32"/>
          <w:lang w:val="en-US" w:eastAsia="zh-CN"/>
        </w:rPr>
        <w:t>粮</w:t>
      </w:r>
      <w:r>
        <w:rPr>
          <w:rFonts w:hint="eastAsia" w:ascii="仿宋_GB2312" w:hAnsi="仿宋_GB2312" w:eastAsia="仿宋_GB2312" w:cs="仿宋_GB2312"/>
          <w:sz w:val="32"/>
          <w:szCs w:val="32"/>
        </w:rPr>
        <w:t>情和业务工作，乙方应积极配合。</w:t>
      </w:r>
    </w:p>
    <w:p w14:paraId="048E4CA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出库：甲方于出库前5个工作日通知乙方做好出库准备。</w:t>
      </w:r>
    </w:p>
    <w:p w14:paraId="47AEB338">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.甲方应按本合同前款约定及时向乙方支付代储费。</w:t>
      </w:r>
    </w:p>
    <w:p w14:paraId="53530240">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.甲方有义务对乙方提供政策咨询和业务指导相关事宜。</w:t>
      </w:r>
    </w:p>
    <w:p w14:paraId="0589510E">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五、乙方权利和义务</w:t>
      </w:r>
    </w:p>
    <w:p w14:paraId="351C6877">
      <w:pPr>
        <w:spacing w:line="56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入库准备：</w:t>
      </w:r>
      <w:r>
        <w:rPr>
          <w:rFonts w:hint="eastAsia" w:ascii="仿宋_GB2312" w:hAnsi="仿宋_GB2312" w:eastAsia="仿宋_GB2312" w:cs="仿宋_GB2312"/>
          <w:sz w:val="32"/>
          <w:szCs w:val="32"/>
        </w:rPr>
        <w:t>乙方收到甲方入库通知后，应做好出入库准备工作。乙方必须严格按采购合同要求安全、有序组织入库，进油前须将</w:t>
      </w:r>
      <w:r>
        <w:rPr>
          <w:rFonts w:hint="eastAsia" w:ascii="仿宋_GB2312" w:hAnsi="仿宋_GB2312" w:eastAsia="仿宋_GB2312" w:cs="仿宋_GB2312"/>
          <w:sz w:val="32"/>
          <w:szCs w:val="32"/>
          <w:lang w:val="en-US" w:eastAsia="zh-CN"/>
        </w:rPr>
        <w:t>油罐</w:t>
      </w:r>
      <w:r>
        <w:rPr>
          <w:rFonts w:hint="eastAsia" w:ascii="仿宋_GB2312" w:hAnsi="仿宋_GB2312" w:eastAsia="仿宋_GB2312" w:cs="仿宋_GB2312"/>
          <w:sz w:val="32"/>
          <w:szCs w:val="32"/>
        </w:rPr>
        <w:t>清洗干净，</w:t>
      </w:r>
      <w:r>
        <w:rPr>
          <w:rFonts w:hint="eastAsia" w:ascii="仿宋_GB2312" w:hAnsi="仿宋_GB2312" w:eastAsia="仿宋_GB2312" w:cs="仿宋_GB2312"/>
          <w:sz w:val="32"/>
          <w:szCs w:val="32"/>
          <w:lang w:val="en-US" w:eastAsia="zh-CN"/>
        </w:rPr>
        <w:t>符合储存要求，</w:t>
      </w:r>
      <w:r>
        <w:rPr>
          <w:rFonts w:hint="eastAsia" w:ascii="仿宋_GB2312" w:hAnsi="仿宋_GB2312" w:eastAsia="仿宋_GB2312" w:cs="仿宋_GB2312"/>
          <w:sz w:val="32"/>
          <w:szCs w:val="32"/>
        </w:rPr>
        <w:t>经空罐核验合格后方可进油入罐。乙方须按照要求，逐车对入库的</w:t>
      </w:r>
      <w:r>
        <w:rPr>
          <w:rFonts w:hint="eastAsia" w:ascii="仿宋_GB2312" w:hAnsi="仿宋_GB2312" w:eastAsia="仿宋_GB2312" w:cs="仿宋_GB2312"/>
          <w:sz w:val="32"/>
          <w:szCs w:val="32"/>
          <w:lang w:val="en-US" w:eastAsia="zh-CN"/>
        </w:rPr>
        <w:t>储备</w:t>
      </w:r>
      <w:r>
        <w:rPr>
          <w:rFonts w:hint="eastAsia" w:ascii="仿宋_GB2312" w:hAnsi="仿宋_GB2312" w:eastAsia="仿宋_GB2312" w:cs="仿宋_GB2312"/>
          <w:sz w:val="32"/>
          <w:szCs w:val="32"/>
        </w:rPr>
        <w:t>油按照采购清单质量指标进行检验，并出具</w:t>
      </w:r>
      <w:r>
        <w:rPr>
          <w:rFonts w:hint="eastAsia" w:ascii="仿宋_GB2312" w:hAnsi="仿宋_GB2312" w:eastAsia="仿宋_GB2312" w:cs="仿宋_GB2312"/>
          <w:sz w:val="32"/>
          <w:szCs w:val="32"/>
          <w:lang w:val="en-US" w:eastAsia="zh-CN"/>
        </w:rPr>
        <w:t>自检</w:t>
      </w:r>
      <w:r>
        <w:rPr>
          <w:rFonts w:hint="eastAsia" w:ascii="仿宋_GB2312" w:hAnsi="仿宋_GB2312" w:eastAsia="仿宋_GB2312" w:cs="仿宋_GB2312"/>
          <w:sz w:val="32"/>
          <w:szCs w:val="32"/>
        </w:rPr>
        <w:t>报告，不合格的</w:t>
      </w:r>
      <w:r>
        <w:rPr>
          <w:rFonts w:hint="eastAsia" w:ascii="仿宋_GB2312" w:hAnsi="仿宋_GB2312" w:eastAsia="仿宋_GB2312" w:cs="仿宋_GB2312"/>
          <w:sz w:val="32"/>
          <w:szCs w:val="32"/>
          <w:lang w:val="en-US" w:eastAsia="zh-CN"/>
        </w:rPr>
        <w:t>须</w:t>
      </w:r>
      <w:r>
        <w:rPr>
          <w:rFonts w:hint="eastAsia" w:ascii="仿宋_GB2312" w:hAnsi="仿宋_GB2312" w:eastAsia="仿宋_GB2312" w:cs="仿宋_GB2312"/>
          <w:sz w:val="32"/>
          <w:szCs w:val="32"/>
        </w:rPr>
        <w:t>拒收</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对食品安全指标超出国标规定的，须扣留该车辆，并通知甲方。</w:t>
      </w:r>
    </w:p>
    <w:p w14:paraId="28275F0F">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val="en-US" w:eastAsia="zh-CN"/>
        </w:rPr>
        <w:t>保管期：</w:t>
      </w:r>
      <w:r>
        <w:rPr>
          <w:rFonts w:hint="eastAsia" w:ascii="仿宋_GB2312" w:hAnsi="仿宋_GB2312" w:eastAsia="仿宋_GB2312" w:cs="仿宋_GB2312"/>
          <w:sz w:val="32"/>
          <w:szCs w:val="32"/>
        </w:rPr>
        <w:t>乙方须做好</w:t>
      </w:r>
      <w:r>
        <w:rPr>
          <w:rFonts w:hint="eastAsia" w:ascii="仿宋_GB2312" w:hAnsi="仿宋_GB2312" w:eastAsia="仿宋_GB2312" w:cs="仿宋_GB2312"/>
          <w:sz w:val="32"/>
          <w:szCs w:val="32"/>
          <w:lang w:val="en-US" w:eastAsia="zh-CN"/>
        </w:rPr>
        <w:t>储备</w:t>
      </w:r>
      <w:r>
        <w:rPr>
          <w:rFonts w:hint="eastAsia" w:ascii="仿宋_GB2312" w:hAnsi="仿宋_GB2312" w:eastAsia="仿宋_GB2312" w:cs="仿宋_GB2312"/>
          <w:sz w:val="32"/>
          <w:szCs w:val="32"/>
        </w:rPr>
        <w:t>油出入库和储存期间各项业务管理工作，</w:t>
      </w:r>
      <w:r>
        <w:rPr>
          <w:rFonts w:hint="eastAsia" w:ascii="仿宋_GB2312" w:hAnsi="仿宋_GB2312" w:eastAsia="仿宋_GB2312" w:cs="仿宋_GB2312"/>
          <w:sz w:val="32"/>
          <w:szCs w:val="32"/>
          <w:lang w:val="en-US" w:eastAsia="zh-CN"/>
        </w:rPr>
        <w:t>对</w:t>
      </w:r>
      <w:r>
        <w:rPr>
          <w:rFonts w:hint="eastAsia" w:ascii="仿宋_GB2312" w:hAnsi="仿宋_GB2312" w:eastAsia="仿宋_GB2312" w:cs="仿宋_GB2312"/>
          <w:sz w:val="32"/>
          <w:szCs w:val="32"/>
        </w:rPr>
        <w:t>市级储备油的数量真实、质量良好、储存安全、管理规范</w:t>
      </w:r>
      <w:r>
        <w:rPr>
          <w:rFonts w:hint="eastAsia" w:ascii="仿宋_GB2312" w:hAnsi="仿宋_GB2312" w:eastAsia="仿宋_GB2312" w:cs="仿宋_GB2312"/>
          <w:sz w:val="32"/>
          <w:szCs w:val="32"/>
          <w:lang w:val="en-US" w:eastAsia="zh-CN"/>
        </w:rPr>
        <w:t>负责</w:t>
      </w:r>
      <w:r>
        <w:rPr>
          <w:rFonts w:hint="eastAsia" w:ascii="仿宋_GB2312" w:hAnsi="仿宋_GB2312" w:eastAsia="仿宋_GB2312" w:cs="仿宋_GB2312"/>
          <w:sz w:val="32"/>
          <w:szCs w:val="32"/>
        </w:rPr>
        <w:t>。储存期间，乙方须按甲方要求进行质量普查。</w:t>
      </w:r>
    </w:p>
    <w:p w14:paraId="62369C96">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迎检和出库</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储备期间，乙方做好储备</w:t>
      </w:r>
      <w:r>
        <w:rPr>
          <w:rFonts w:hint="eastAsia" w:ascii="仿宋_GB2312" w:hAnsi="仿宋_GB2312" w:eastAsia="仿宋_GB2312" w:cs="仿宋_GB2312"/>
          <w:sz w:val="32"/>
          <w:szCs w:val="32"/>
          <w:lang w:val="en-US" w:eastAsia="zh-CN"/>
        </w:rPr>
        <w:t>油</w:t>
      </w:r>
      <w:r>
        <w:rPr>
          <w:rFonts w:hint="eastAsia" w:ascii="仿宋_GB2312" w:hAnsi="仿宋_GB2312" w:eastAsia="仿宋_GB2312" w:cs="仿宋_GB2312"/>
          <w:sz w:val="32"/>
          <w:szCs w:val="32"/>
        </w:rPr>
        <w:t xml:space="preserve">各级监管部门的检查准备，迎接检查。收到甲方出库通知后做好出库准备工作。如在储存期内贵阳市人民政府紧急调用该批储备油，乙方需无条件配合，甲方收到紧急调用文件后即通知乙方做好紧急调用准备。           </w:t>
      </w:r>
    </w:p>
    <w:p w14:paraId="3416088E">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.乙方必须按照食用油安全储藏条件，安排质量完好的 油罐储存市级储备油。未经甲方批准，乙方不得倒罐移库，不得将市级储备油转手委托其他单位或个人进行二次代储。</w:t>
      </w:r>
    </w:p>
    <w:p w14:paraId="3F0D0F88">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乙方要严格使用甲方统一规格的账、卡、板、簿、表、凭证等进行规范化管理，在明显位置设置粮权公示牌，每季度向甲方提供质量检测书面报告，并按照“一符、三专、四落实”进行管理，“一符四无”率达100%,宜存率达100%。</w:t>
      </w:r>
    </w:p>
    <w:p w14:paraId="27185DA7">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.乙方储备管理人员必须持证上岗，储备管理水平达到甲方要求，每日不少于一次罐区安全巡查并建立台账，发现隐患须及时上报并整改。</w:t>
      </w:r>
    </w:p>
    <w:p w14:paraId="5FAB30E5">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.当乙方发生</w:t>
      </w:r>
      <w:r>
        <w:rPr>
          <w:rFonts w:hint="eastAsia" w:ascii="仿宋_GB2312" w:hAnsi="仿宋_GB2312" w:eastAsia="仿宋_GB2312" w:cs="仿宋_GB2312"/>
          <w:sz w:val="32"/>
          <w:szCs w:val="32"/>
          <w:lang w:val="en-US" w:eastAsia="zh-CN"/>
        </w:rPr>
        <w:t>重大事项</w:t>
      </w:r>
      <w:r>
        <w:rPr>
          <w:rFonts w:hint="eastAsia" w:ascii="仿宋_GB2312" w:hAnsi="仿宋_GB2312" w:eastAsia="仿宋_GB2312" w:cs="仿宋_GB2312"/>
          <w:sz w:val="32"/>
          <w:szCs w:val="32"/>
        </w:rPr>
        <w:t>，危及市级储备油安全时，须及时通知甲方。</w:t>
      </w:r>
    </w:p>
    <w:p w14:paraId="4CFBF411">
      <w:pPr>
        <w:spacing w:line="56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.乙方按照《关于加快推进粮食购销领域监管信息化建设的指导意见》《粮食购销领域监管信息化规范》的要求，完成信息化系统建设，并接入国家及省级平台</w:t>
      </w:r>
      <w:r>
        <w:rPr>
          <w:rFonts w:hint="eastAsia" w:ascii="仿宋_GB2312" w:hAnsi="仿宋_GB2312" w:eastAsia="仿宋_GB2312" w:cs="仿宋_GB2312"/>
          <w:sz w:val="32"/>
          <w:szCs w:val="32"/>
          <w:lang w:eastAsia="zh-CN"/>
        </w:rPr>
        <w:t>，信息化系统建设费用由乙方承担。</w:t>
      </w:r>
      <w:r>
        <w:rPr>
          <w:rFonts w:hint="eastAsia" w:ascii="仿宋_GB2312" w:hAnsi="仿宋_GB2312" w:eastAsia="仿宋_GB2312" w:cs="仿宋_GB2312"/>
          <w:sz w:val="32"/>
          <w:szCs w:val="32"/>
          <w:lang w:val="en-US" w:eastAsia="zh-CN"/>
        </w:rPr>
        <w:t>按上级要求完善相关储存设施设备</w:t>
      </w:r>
      <w:r>
        <w:rPr>
          <w:rFonts w:hint="eastAsia" w:ascii="仿宋_GB2312" w:hAnsi="仿宋_GB2312" w:eastAsia="仿宋_GB2312" w:cs="仿宋_GB2312"/>
          <w:sz w:val="32"/>
          <w:szCs w:val="32"/>
          <w:lang w:eastAsia="zh-CN"/>
        </w:rPr>
        <w:t>。</w:t>
      </w:r>
    </w:p>
    <w:p w14:paraId="280362AC">
      <w:pPr>
        <w:spacing w:line="56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9.乙方在接到甲方入库通知起10日内，须为代甲方保管的XX吨市级储备油购买商业保险，并将保险凭证扫描件交由甲方归档留存。</w:t>
      </w:r>
    </w:p>
    <w:p w14:paraId="218781D9">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六、责任约定</w:t>
      </w:r>
    </w:p>
    <w:p w14:paraId="2D5E3671">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1.该批市级储备油保管及轮换过程中，除发生不可抗力 的损失外，正常保管损失损耗</w:t>
      </w:r>
      <w:r>
        <w:rPr>
          <w:rFonts w:hint="eastAsia" w:ascii="仿宋_GB2312" w:hAnsi="仿宋_GB2312" w:eastAsia="仿宋_GB2312" w:cs="仿宋_GB2312"/>
          <w:sz w:val="32"/>
          <w:szCs w:val="32"/>
          <w:lang w:eastAsia="zh-CN"/>
        </w:rPr>
        <w:t>不超过</w:t>
      </w:r>
      <w:r>
        <w:rPr>
          <w:rFonts w:hint="eastAsia" w:ascii="仿宋_GB2312" w:hAnsi="仿宋_GB2312" w:eastAsia="仿宋_GB2312" w:cs="仿宋_GB2312"/>
          <w:sz w:val="32"/>
          <w:szCs w:val="32"/>
        </w:rPr>
        <w:t>0.12%的部分由甲方承担，保管损失损耗超过0.12%的部分乙方承担，须在出库时补足，实际出库发生溢余的部分，归甲方所有，存入甲方盈余专户。</w:t>
      </w:r>
    </w:p>
    <w:p w14:paraId="74DEBB5E">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val="en-US" w:eastAsia="zh-CN"/>
        </w:rPr>
        <w:t>出入库和储存期间</w:t>
      </w:r>
      <w:r>
        <w:rPr>
          <w:rFonts w:hint="eastAsia" w:ascii="仿宋_GB2312" w:hAnsi="仿宋_GB2312" w:eastAsia="仿宋_GB2312" w:cs="仿宋_GB2312"/>
          <w:sz w:val="32"/>
          <w:szCs w:val="32"/>
        </w:rPr>
        <w:t>，导致储备油</w:t>
      </w:r>
      <w:r>
        <w:rPr>
          <w:rFonts w:hint="eastAsia" w:ascii="仿宋_GB2312" w:hAnsi="仿宋_GB2312" w:eastAsia="仿宋_GB2312" w:cs="仿宋_GB2312"/>
          <w:sz w:val="32"/>
          <w:szCs w:val="32"/>
          <w:lang w:val="en-US" w:eastAsia="zh-CN"/>
        </w:rPr>
        <w:t>质量、数量、储存安全出现问题</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产生的一切责任</w:t>
      </w:r>
      <w:r>
        <w:rPr>
          <w:rFonts w:hint="eastAsia" w:ascii="仿宋_GB2312" w:hAnsi="仿宋_GB2312" w:eastAsia="仿宋_GB2312" w:cs="仿宋_GB2312"/>
          <w:sz w:val="32"/>
          <w:szCs w:val="32"/>
        </w:rPr>
        <w:t>由乙方承担。</w:t>
      </w:r>
    </w:p>
    <w:p w14:paraId="5F192BAE">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乙方不得擅自动用储备油，禁止用市级储备油清偿债务、抵押和任何形式的担保，发生此等行为甲方可立即单方解除合同，乙方应赔偿甲方所有损失（包含但不限于初始成本、价差、利息、保管费等）并承担全部法律责任。</w:t>
      </w:r>
    </w:p>
    <w:p w14:paraId="695AE483">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4.乙方在履行代储期间，须做好安全培训和安全防护，所发生的一切安全事故由乙方负责。</w:t>
      </w:r>
    </w:p>
    <w:p w14:paraId="77FE9447">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5.乙方未按甲方的要求对反馈问题进行整改，甲方根据问题性质，扣</w:t>
      </w:r>
      <w:r>
        <w:rPr>
          <w:rFonts w:hint="eastAsia" w:ascii="仿宋_GB2312" w:hAnsi="仿宋_GB2312" w:eastAsia="仿宋_GB2312" w:cs="仿宋_GB2312"/>
          <w:sz w:val="32"/>
          <w:szCs w:val="32"/>
          <w:lang w:val="en-US" w:eastAsia="zh-CN"/>
        </w:rPr>
        <w:t>罚</w:t>
      </w:r>
      <w:r>
        <w:rPr>
          <w:rFonts w:hint="eastAsia" w:ascii="仿宋_GB2312" w:hAnsi="仿宋_GB2312" w:eastAsia="仿宋_GB2312" w:cs="仿宋_GB2312"/>
          <w:sz w:val="32"/>
          <w:szCs w:val="32"/>
        </w:rPr>
        <w:t>代储费用。</w:t>
      </w:r>
    </w:p>
    <w:p w14:paraId="071D5D3F">
      <w:pPr>
        <w:spacing w:line="56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6.甲、乙双方应当严格按照本协议的约定履行义务，任何一方违约给其他方造成损失包括但不限于经济损失、声誉损失以及守约方因此支出的维权或救济成本</w:t>
      </w:r>
      <w:r>
        <w:rPr>
          <w:rFonts w:hint="eastAsia" w:ascii="仿宋_GB2312" w:hAnsi="仿宋_GB2312" w:eastAsia="仿宋_GB2312" w:cs="仿宋_GB2312"/>
          <w:sz w:val="32"/>
          <w:szCs w:val="32"/>
          <w:lang w:eastAsia="zh-CN"/>
        </w:rPr>
        <w:t>均由违约方承担</w:t>
      </w:r>
      <w:r>
        <w:rPr>
          <w:rFonts w:hint="eastAsia" w:ascii="仿宋_GB2312" w:hAnsi="仿宋_GB2312" w:eastAsia="仿宋_GB2312" w:cs="仿宋_GB2312"/>
          <w:sz w:val="32"/>
          <w:szCs w:val="32"/>
        </w:rPr>
        <w:t>（包括但不限于实际损失、可得利益损失、诉讼费、保全费、担保费、评估费、拍卖费、鉴定费、公证费、律师费、差旅费、守约方支出的赔偿金、违约金、罚款等）。</w:t>
      </w:r>
    </w:p>
    <w:p w14:paraId="400C8D3E">
      <w:pPr>
        <w:spacing w:line="560" w:lineRule="exact"/>
        <w:ind w:firstLine="640" w:firstLineChars="200"/>
        <w:rPr>
          <w:rFonts w:hint="default" w:ascii="黑体" w:hAnsi="黑体" w:eastAsia="黑体" w:cs="黑体"/>
          <w:sz w:val="32"/>
          <w:szCs w:val="32"/>
          <w:lang w:val="en-US" w:eastAsia="zh-CN"/>
        </w:rPr>
      </w:pPr>
      <w:r>
        <w:rPr>
          <w:rFonts w:hint="eastAsia" w:ascii="黑体" w:hAnsi="黑体" w:eastAsia="黑体" w:cs="黑体"/>
          <w:sz w:val="32"/>
          <w:szCs w:val="32"/>
        </w:rPr>
        <w:t>七、</w:t>
      </w:r>
      <w:r>
        <w:rPr>
          <w:rFonts w:hint="eastAsia" w:ascii="黑体" w:hAnsi="黑体" w:eastAsia="黑体" w:cs="黑体"/>
          <w:sz w:val="32"/>
          <w:szCs w:val="32"/>
          <w:lang w:val="en-US" w:eastAsia="zh-CN"/>
        </w:rPr>
        <w:t>违约责任</w:t>
      </w:r>
    </w:p>
    <w:p w14:paraId="313B61FD">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.若因乙方保管期内造成损失的，必须进行赔偿，并追究相关责任。因乙方未能及时减少损失造成损失扩大的由乙方承担扩大损失的部分</w:t>
      </w:r>
      <w:r>
        <w:rPr>
          <w:rFonts w:hint="eastAsia" w:ascii="仿宋_GB2312" w:hAnsi="仿宋_GB2312" w:eastAsia="仿宋_GB2312" w:cs="仿宋_GB2312"/>
          <w:sz w:val="32"/>
          <w:szCs w:val="32"/>
          <w:lang w:eastAsia="zh-CN"/>
        </w:rPr>
        <w:t>。</w:t>
      </w:r>
    </w:p>
    <w:p w14:paraId="698536FE">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有下列行为之一的，甲方有权终止合同</w:t>
      </w:r>
      <w:r>
        <w:rPr>
          <w:rFonts w:hint="eastAsia" w:ascii="仿宋_GB2312" w:hAnsi="仿宋_GB2312" w:eastAsia="仿宋_GB2312" w:cs="仿宋_GB2312"/>
          <w:sz w:val="32"/>
          <w:szCs w:val="32"/>
          <w:lang w:val="en-US" w:eastAsia="zh-CN"/>
        </w:rPr>
        <w:t>没收</w:t>
      </w:r>
      <w:r>
        <w:rPr>
          <w:rFonts w:hint="eastAsia" w:ascii="仿宋_GB2312" w:hAnsi="仿宋_GB2312" w:eastAsia="仿宋_GB2312" w:cs="仿宋_GB2312"/>
          <w:sz w:val="32"/>
          <w:szCs w:val="32"/>
        </w:rPr>
        <w:t>代储费，并追究乙方经济和法律责任。</w:t>
      </w:r>
    </w:p>
    <w:p w14:paraId="00222426">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（1）乙方将市级储备油用作抵押或其他交易，造成市级储备油的损失的；</w:t>
      </w:r>
    </w:p>
    <w:p w14:paraId="4EFA1D5E">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（2）拒不配合甲方及上级主管部门监督检查的，不按要求上报市级储备油业务相关资料，影响市级储备油正常管理的；</w:t>
      </w:r>
    </w:p>
    <w:p w14:paraId="1169505E">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（3）擅自动用市级储备油的；</w:t>
      </w:r>
    </w:p>
    <w:p w14:paraId="4A202CE3">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（4）擅自改变市级储备油数量、品种</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存储</w:t>
      </w:r>
      <w:r>
        <w:rPr>
          <w:rFonts w:hint="eastAsia" w:ascii="仿宋_GB2312" w:hAnsi="仿宋_GB2312" w:eastAsia="仿宋_GB2312" w:cs="仿宋_GB2312"/>
          <w:sz w:val="32"/>
          <w:szCs w:val="32"/>
          <w:lang w:val="en-US" w:eastAsia="zh-CN"/>
        </w:rPr>
        <w:t>地点及货</w:t>
      </w:r>
      <w:r>
        <w:rPr>
          <w:rFonts w:hint="eastAsia" w:ascii="仿宋_GB2312" w:hAnsi="仿宋_GB2312" w:eastAsia="仿宋_GB2312" w:cs="仿宋_GB2312"/>
          <w:sz w:val="32"/>
          <w:szCs w:val="32"/>
        </w:rPr>
        <w:t>位的；</w:t>
      </w:r>
    </w:p>
    <w:p w14:paraId="24781838">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（5）乙方因重大储</w:t>
      </w:r>
      <w:r>
        <w:rPr>
          <w:rFonts w:hint="eastAsia" w:ascii="仿宋_GB2312" w:hAnsi="仿宋_GB2312" w:eastAsia="仿宋_GB2312" w:cs="仿宋_GB2312"/>
          <w:sz w:val="32"/>
          <w:szCs w:val="32"/>
          <w:lang w:val="en-US" w:eastAsia="zh-CN"/>
        </w:rPr>
        <w:t>油</w:t>
      </w:r>
      <w:r>
        <w:rPr>
          <w:rFonts w:hint="eastAsia" w:ascii="仿宋_GB2312" w:hAnsi="仿宋_GB2312" w:eastAsia="仿宋_GB2312" w:cs="仿宋_GB2312"/>
          <w:sz w:val="32"/>
          <w:szCs w:val="32"/>
        </w:rPr>
        <w:t>安全事故造成市级储备油损失的。</w:t>
      </w:r>
    </w:p>
    <w:p w14:paraId="0FB0C38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黑体" w:hAnsi="黑体" w:eastAsia="黑体" w:cs="黑体"/>
          <w:b w:val="0"/>
          <w:bCs/>
          <w:sz w:val="32"/>
          <w:szCs w:val="32"/>
          <w:lang w:val="en-US" w:eastAsia="zh-CN"/>
        </w:rPr>
      </w:pPr>
      <w:r>
        <w:rPr>
          <w:rFonts w:hint="eastAsia" w:ascii="黑体" w:hAnsi="黑体" w:eastAsia="黑体" w:cs="黑体"/>
          <w:b w:val="0"/>
          <w:bCs/>
          <w:sz w:val="32"/>
          <w:szCs w:val="32"/>
        </w:rPr>
        <w:t>八、</w:t>
      </w:r>
      <w:r>
        <w:rPr>
          <w:rFonts w:hint="eastAsia" w:ascii="黑体" w:hAnsi="黑体" w:eastAsia="黑体" w:cs="黑体"/>
          <w:b w:val="0"/>
          <w:bCs/>
          <w:sz w:val="32"/>
          <w:szCs w:val="32"/>
          <w:lang w:val="en-US" w:eastAsia="zh-CN"/>
        </w:rPr>
        <w:t>通知及送达</w:t>
      </w:r>
    </w:p>
    <w:p w14:paraId="41EA42B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甲乙双方一致同意以本协议中约定的地址、电话等送达地址及方式作为相互之间送达通知文件和法院诉讼文书的有效送达地址，如有变动，应在三个工作日内通知对方，造成对方任何通知文件或法院诉讼文书未能实际送达的，视为该通知文件或法院诉讼文书已合法有效送达，未能实际送达的责任和损失，全部由未通知方自行承担。</w:t>
      </w:r>
    </w:p>
    <w:p w14:paraId="16D2FF0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sz w:val="32"/>
          <w:szCs w:val="32"/>
          <w:lang w:val="en-US" w:eastAsia="zh-CN"/>
        </w:rPr>
      </w:pPr>
      <w:r>
        <w:rPr>
          <w:rFonts w:hint="eastAsia" w:ascii="黑体" w:hAnsi="黑体" w:eastAsia="黑体" w:cs="黑体"/>
          <w:b w:val="0"/>
          <w:bCs/>
          <w:sz w:val="32"/>
          <w:szCs w:val="32"/>
          <w:lang w:val="en-US" w:eastAsia="zh-CN"/>
        </w:rPr>
        <w:t>九</w:t>
      </w:r>
      <w:r>
        <w:rPr>
          <w:rFonts w:hint="eastAsia" w:ascii="黑体" w:hAnsi="黑体" w:eastAsia="黑体" w:cs="黑体"/>
          <w:b w:val="0"/>
          <w:bCs/>
          <w:sz w:val="32"/>
          <w:szCs w:val="32"/>
        </w:rPr>
        <w:t>、</w:t>
      </w:r>
      <w:r>
        <w:rPr>
          <w:rFonts w:hint="eastAsia" w:ascii="黑体" w:hAnsi="黑体" w:eastAsia="黑体" w:cs="黑体"/>
          <w:b w:val="0"/>
          <w:bCs/>
          <w:sz w:val="32"/>
          <w:szCs w:val="32"/>
          <w:lang w:val="en-US" w:eastAsia="zh-CN"/>
        </w:rPr>
        <w:t>附则</w:t>
      </w:r>
    </w:p>
    <w:p w14:paraId="63D68BBA">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1.甲、乙双方应积极配合上级粮食行政主管部门、财政、农发行等单位和部门对市级储备油的监督检查。</w:t>
      </w:r>
    </w:p>
    <w:p w14:paraId="29328647">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2.本合同在履行中发生争议的由双方友好协商解决，协商不成的，甲乙双方均可向甲方所在地人民法院提起诉讼。</w:t>
      </w:r>
    </w:p>
    <w:p w14:paraId="25C36E1E">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3.本合同一式陆份，甲方执叁份，乙方执叁份，由双方法定代表人签字盖公章后生效。</w:t>
      </w:r>
    </w:p>
    <w:p w14:paraId="07AFD99F">
      <w:pPr>
        <w:spacing w:line="560" w:lineRule="exact"/>
        <w:ind w:firstLine="640" w:firstLineChars="200"/>
        <w:rPr>
          <w:rFonts w:hint="eastAsia" w:ascii="方正仿宋_GB2312" w:hAnsi="方正仿宋_GB2312" w:eastAsia="方正仿宋_GB2312" w:cs="方正仿宋_GB2312"/>
          <w:sz w:val="32"/>
          <w:szCs w:val="32"/>
        </w:rPr>
      </w:pPr>
      <w:r>
        <w:rPr>
          <w:rFonts w:hint="eastAsia" w:ascii="黑体" w:hAnsi="黑体" w:eastAsia="黑体" w:cs="黑体"/>
          <w:b w:val="0"/>
          <w:bCs/>
          <w:sz w:val="32"/>
          <w:szCs w:val="32"/>
          <w:lang w:val="en-US" w:eastAsia="zh-CN"/>
        </w:rPr>
        <w:t>十</w:t>
      </w:r>
      <w:r>
        <w:rPr>
          <w:rFonts w:hint="eastAsia" w:ascii="黑体" w:hAnsi="黑体" w:eastAsia="黑体" w:cs="黑体"/>
          <w:b w:val="0"/>
          <w:bCs/>
          <w:sz w:val="32"/>
          <w:szCs w:val="32"/>
        </w:rPr>
        <w:t>、</w:t>
      </w:r>
      <w:r>
        <w:rPr>
          <w:rFonts w:hint="eastAsia" w:ascii="仿宋_GB2312" w:hAnsi="仿宋_GB2312" w:eastAsia="仿宋_GB2312" w:cs="仿宋_GB2312"/>
          <w:b w:val="0"/>
          <w:bCs/>
          <w:sz w:val="32"/>
          <w:szCs w:val="32"/>
        </w:rPr>
        <w:t>未尽事宜双方协商解决或签订补充协议，补充协议与原协议具有同等的法律效力。</w:t>
      </w:r>
    </w:p>
    <w:p w14:paraId="77E5F0CF">
      <w:pPr>
        <w:spacing w:line="560" w:lineRule="exact"/>
        <w:ind w:firstLine="0" w:firstLineChars="0"/>
        <w:rPr>
          <w:rFonts w:hint="eastAsia" w:ascii="方正仿宋_GB2312" w:hAnsi="方正仿宋_GB2312" w:eastAsia="方正仿宋_GB2312" w:cs="方正仿宋_GB2312"/>
          <w:sz w:val="32"/>
          <w:szCs w:val="32"/>
        </w:rPr>
      </w:pPr>
    </w:p>
    <w:p w14:paraId="4DB2806B">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甲方：（签章）              乙方：（签章）</w:t>
      </w:r>
    </w:p>
    <w:p w14:paraId="66A23FF4">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p>
    <w:p w14:paraId="0A89A736">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法定代表人：                法定代表人：</w:t>
      </w:r>
    </w:p>
    <w:p w14:paraId="616E0CE6">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授权委托代理人：            授权委托代理人：</w:t>
      </w:r>
    </w:p>
    <w:p w14:paraId="446FAF55">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电  话：                    电  话： </w:t>
      </w:r>
    </w:p>
    <w:p w14:paraId="42A74126">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传  真：                    传  真：</w:t>
      </w:r>
    </w:p>
    <w:p w14:paraId="632A47C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p>
    <w:p w14:paraId="0036D4EC">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签订时间：  年    月    日 </w:t>
      </w:r>
    </w:p>
    <w:p w14:paraId="7461DACE">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14:paraId="09804667">
      <w:pPr>
        <w:spacing w:line="560" w:lineRule="exact"/>
        <w:rPr>
          <w:rFonts w:hint="eastAsia" w:ascii="方正仿宋_GB2312" w:hAnsi="方正仿宋_GB2312" w:eastAsia="方正仿宋_GB2312" w:cs="方正仿宋_GB2312"/>
          <w:sz w:val="32"/>
          <w:szCs w:val="32"/>
          <w:lang w:val="en-US" w:eastAsia="zh-CN"/>
        </w:rPr>
      </w:pPr>
    </w:p>
    <w:p w14:paraId="6D419C1C">
      <w:pPr>
        <w:spacing w:line="560" w:lineRule="exact"/>
        <w:rPr>
          <w:rFonts w:hint="eastAsia" w:ascii="方正仿宋_GB2312" w:hAnsi="方正仿宋_GB2312" w:eastAsia="方正仿宋_GB2312" w:cs="方正仿宋_GB2312"/>
          <w:sz w:val="32"/>
          <w:szCs w:val="32"/>
        </w:rPr>
      </w:pPr>
      <w:r>
        <w:rPr>
          <w:rFonts w:hint="eastAsia" w:ascii="仿宋_GB2312" w:hAnsi="仿宋_GB2312" w:eastAsia="仿宋_GB2312" w:cs="仿宋_GB2312"/>
          <w:sz w:val="32"/>
          <w:szCs w:val="32"/>
          <w:lang w:val="en-US" w:eastAsia="zh-CN"/>
        </w:rPr>
        <w:t>附件：贵阳市市级储备粮油质量标准</w:t>
      </w:r>
    </w:p>
    <w:p w14:paraId="78581AAA">
      <w:pPr>
        <w:spacing w:line="560" w:lineRule="exact"/>
        <w:rPr>
          <w:rFonts w:hint="eastAsia" w:ascii="方正仿宋_GB2312" w:hAnsi="方正仿宋_GB2312" w:eastAsia="方正仿宋_GB2312" w:cs="方正仿宋_GB2312"/>
          <w:sz w:val="32"/>
          <w:szCs w:val="32"/>
        </w:rPr>
      </w:pPr>
    </w:p>
    <w:p w14:paraId="55F78AD6">
      <w:pPr>
        <w:spacing w:line="560" w:lineRule="exact"/>
        <w:rPr>
          <w:rFonts w:hint="eastAsia" w:ascii="方正仿宋_GB2312" w:hAnsi="方正仿宋_GB2312" w:eastAsia="方正仿宋_GB2312" w:cs="方正仿宋_GB2312"/>
          <w:sz w:val="32"/>
          <w:szCs w:val="32"/>
        </w:rPr>
      </w:pPr>
    </w:p>
    <w:p w14:paraId="21275DE4">
      <w:pPr>
        <w:spacing w:line="560" w:lineRule="exact"/>
        <w:rPr>
          <w:rFonts w:hint="eastAsia" w:ascii="方正仿宋_GB2312" w:hAnsi="方正仿宋_GB2312" w:eastAsia="方正仿宋_GB2312" w:cs="方正仿宋_GB2312"/>
          <w:sz w:val="32"/>
          <w:szCs w:val="32"/>
        </w:rPr>
      </w:pPr>
    </w:p>
    <w:p w14:paraId="395A729A">
      <w:pPr>
        <w:spacing w:line="560" w:lineRule="exact"/>
        <w:rPr>
          <w:rFonts w:hint="eastAsia" w:ascii="方正仿宋_GB2312" w:hAnsi="方正仿宋_GB2312" w:eastAsia="方正仿宋_GB2312" w:cs="方正仿宋_GB2312"/>
          <w:sz w:val="32"/>
          <w:szCs w:val="32"/>
        </w:rPr>
      </w:pPr>
    </w:p>
    <w:p w14:paraId="11023DD8">
      <w:pPr>
        <w:spacing w:line="560" w:lineRule="exact"/>
        <w:rPr>
          <w:rFonts w:hint="eastAsia" w:ascii="方正仿宋_GB2312" w:hAnsi="方正仿宋_GB2312" w:eastAsia="方正仿宋_GB2312" w:cs="方正仿宋_GB2312"/>
          <w:sz w:val="32"/>
          <w:szCs w:val="32"/>
        </w:rPr>
      </w:pPr>
    </w:p>
    <w:p w14:paraId="7DD3D4EF">
      <w:pPr>
        <w:spacing w:line="560" w:lineRule="exact"/>
        <w:rPr>
          <w:rFonts w:hint="eastAsia" w:ascii="方正仿宋_GB2312" w:hAnsi="方正仿宋_GB2312" w:eastAsia="方正仿宋_GB2312" w:cs="方正仿宋_GB2312"/>
          <w:sz w:val="32"/>
          <w:szCs w:val="32"/>
        </w:rPr>
      </w:pPr>
    </w:p>
    <w:p w14:paraId="6217E4D7">
      <w:pPr>
        <w:spacing w:line="560" w:lineRule="exact"/>
        <w:rPr>
          <w:rFonts w:hint="eastAsia" w:ascii="方正仿宋_GB2312" w:hAnsi="方正仿宋_GB2312" w:eastAsia="方正仿宋_GB2312" w:cs="方正仿宋_GB2312"/>
          <w:sz w:val="32"/>
          <w:szCs w:val="32"/>
        </w:rPr>
      </w:pPr>
    </w:p>
    <w:p w14:paraId="73438C27">
      <w:pPr>
        <w:spacing w:line="560" w:lineRule="exact"/>
        <w:rPr>
          <w:rFonts w:hint="eastAsia" w:ascii="方正仿宋_GB2312" w:hAnsi="方正仿宋_GB2312" w:eastAsia="方正仿宋_GB2312" w:cs="方正仿宋_GB2312"/>
          <w:sz w:val="32"/>
          <w:szCs w:val="32"/>
        </w:rPr>
      </w:pPr>
    </w:p>
    <w:p w14:paraId="38EB8D0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b w:val="0"/>
          <w:bCs/>
          <w:sz w:val="32"/>
          <w:szCs w:val="32"/>
          <w:lang w:val="en-US" w:eastAsia="zh-CN"/>
        </w:rPr>
      </w:pPr>
      <w:r>
        <w:rPr>
          <w:rFonts w:hint="eastAsia" w:ascii="方正小标宋简体" w:hAnsi="方正小标宋简体" w:eastAsia="方正小标宋简体" w:cs="方正小标宋简体"/>
          <w:sz w:val="40"/>
          <w:szCs w:val="40"/>
          <w:lang w:val="en-US" w:eastAsia="zh-CN"/>
        </w:rPr>
        <w:t>贵阳市市级储备粮油质量标准（菜籽油）</w:t>
      </w:r>
    </w:p>
    <w:tbl>
      <w:tblPr>
        <w:tblStyle w:val="4"/>
        <w:tblW w:w="96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1"/>
        <w:gridCol w:w="588"/>
        <w:gridCol w:w="572"/>
        <w:gridCol w:w="2292"/>
        <w:gridCol w:w="2812"/>
        <w:gridCol w:w="2812"/>
      </w:tblGrid>
      <w:tr w14:paraId="23F754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65" w:hRule="atLeast"/>
          <w:jc w:val="center"/>
        </w:trPr>
        <w:tc>
          <w:tcPr>
            <w:tcW w:w="621" w:type="dxa"/>
            <w:vAlign w:val="center"/>
          </w:tcPr>
          <w:p w14:paraId="646C5E87">
            <w:pPr>
              <w:jc w:val="both"/>
              <w:rPr>
                <w:rFonts w:hint="default" w:ascii="仿宋_GB2312" w:hAnsi="仿宋_GB2312" w:eastAsia="仿宋_GB2312" w:cs="仿宋_GB2312"/>
                <w:b w:val="0"/>
                <w:bCs/>
                <w:sz w:val="28"/>
                <w:szCs w:val="28"/>
                <w:lang w:val="en-US" w:eastAsia="zh-CN"/>
              </w:rPr>
            </w:pPr>
            <w:r>
              <w:rPr>
                <w:rFonts w:hint="eastAsia" w:ascii="仿宋_GB2312" w:hAnsi="仿宋_GB2312" w:eastAsia="仿宋_GB2312" w:cs="仿宋_GB2312"/>
                <w:b w:val="0"/>
                <w:bCs/>
                <w:sz w:val="28"/>
                <w:szCs w:val="28"/>
                <w:lang w:val="en-US" w:eastAsia="zh-CN"/>
              </w:rPr>
              <w:t>品种</w:t>
            </w:r>
          </w:p>
        </w:tc>
        <w:tc>
          <w:tcPr>
            <w:tcW w:w="588" w:type="dxa"/>
            <w:vAlign w:val="center"/>
          </w:tcPr>
          <w:p w14:paraId="753E4916">
            <w:pPr>
              <w:jc w:val="both"/>
              <w:rPr>
                <w:rFonts w:hint="default" w:ascii="仿宋_GB2312" w:hAnsi="仿宋_GB2312" w:eastAsia="仿宋_GB2312" w:cs="仿宋_GB2312"/>
                <w:b w:val="0"/>
                <w:bCs/>
                <w:sz w:val="28"/>
                <w:szCs w:val="28"/>
                <w:lang w:val="en-US" w:eastAsia="zh-CN"/>
              </w:rPr>
            </w:pPr>
            <w:r>
              <w:rPr>
                <w:rFonts w:hint="eastAsia" w:ascii="仿宋_GB2312" w:hAnsi="仿宋_GB2312" w:eastAsia="仿宋_GB2312" w:cs="仿宋_GB2312"/>
                <w:b w:val="0"/>
                <w:bCs/>
                <w:sz w:val="28"/>
                <w:szCs w:val="28"/>
                <w:lang w:val="en-US" w:eastAsia="zh-CN"/>
              </w:rPr>
              <w:t>等级</w:t>
            </w:r>
          </w:p>
        </w:tc>
        <w:tc>
          <w:tcPr>
            <w:tcW w:w="2864" w:type="dxa"/>
            <w:gridSpan w:val="2"/>
            <w:vAlign w:val="center"/>
          </w:tcPr>
          <w:p w14:paraId="67F4FB2A">
            <w:pPr>
              <w:jc w:val="center"/>
              <w:rPr>
                <w:rFonts w:hint="default" w:ascii="仿宋_GB2312" w:hAnsi="仿宋_GB2312" w:eastAsia="仿宋_GB2312" w:cs="仿宋_GB2312"/>
                <w:b w:val="0"/>
                <w:bCs/>
                <w:sz w:val="28"/>
                <w:szCs w:val="28"/>
                <w:lang w:val="en-US" w:eastAsia="zh-CN"/>
              </w:rPr>
            </w:pPr>
            <w:r>
              <w:rPr>
                <w:rFonts w:hint="eastAsia" w:ascii="仿宋_GB2312" w:hAnsi="仿宋_GB2312" w:eastAsia="仿宋_GB2312" w:cs="仿宋_GB2312"/>
                <w:b w:val="0"/>
                <w:bCs/>
                <w:sz w:val="28"/>
                <w:szCs w:val="28"/>
                <w:lang w:val="en-US" w:eastAsia="zh-CN"/>
              </w:rPr>
              <w:t>检验项目</w:t>
            </w:r>
          </w:p>
        </w:tc>
        <w:tc>
          <w:tcPr>
            <w:tcW w:w="2812" w:type="dxa"/>
            <w:vAlign w:val="center"/>
          </w:tcPr>
          <w:p w14:paraId="15E1130A">
            <w:pPr>
              <w:jc w:val="center"/>
              <w:rPr>
                <w:rFonts w:hint="default" w:ascii="仿宋_GB2312" w:hAnsi="仿宋_GB2312" w:eastAsia="仿宋_GB2312" w:cs="仿宋_GB2312"/>
                <w:b w:val="0"/>
                <w:bCs/>
                <w:sz w:val="28"/>
                <w:szCs w:val="28"/>
                <w:lang w:val="en-US" w:eastAsia="zh-CN"/>
              </w:rPr>
            </w:pPr>
            <w:r>
              <w:rPr>
                <w:rFonts w:hint="eastAsia" w:ascii="仿宋_GB2312" w:hAnsi="仿宋_GB2312" w:eastAsia="仿宋_GB2312" w:cs="仿宋_GB2312"/>
                <w:b w:val="0"/>
                <w:bCs/>
                <w:sz w:val="28"/>
                <w:szCs w:val="28"/>
                <w:lang w:val="en-US" w:eastAsia="zh-CN"/>
              </w:rPr>
              <w:t>入库质量标准</w:t>
            </w:r>
          </w:p>
        </w:tc>
        <w:tc>
          <w:tcPr>
            <w:tcW w:w="2812" w:type="dxa"/>
            <w:vAlign w:val="center"/>
          </w:tcPr>
          <w:p w14:paraId="690C9BCB">
            <w:pPr>
              <w:jc w:val="center"/>
              <w:rPr>
                <w:rFonts w:hint="eastAsia" w:ascii="仿宋_GB2312" w:hAnsi="仿宋_GB2312" w:eastAsia="仿宋_GB2312" w:cs="仿宋_GB2312"/>
                <w:b w:val="0"/>
                <w:bCs/>
                <w:kern w:val="2"/>
                <w:sz w:val="28"/>
                <w:szCs w:val="28"/>
                <w:lang w:val="en-US" w:eastAsia="zh-CN" w:bidi="ar-SA"/>
              </w:rPr>
            </w:pPr>
            <w:r>
              <w:rPr>
                <w:rFonts w:hint="eastAsia" w:ascii="仿宋_GB2312" w:hAnsi="仿宋_GB2312" w:eastAsia="仿宋_GB2312" w:cs="仿宋_GB2312"/>
                <w:b w:val="0"/>
                <w:bCs/>
                <w:sz w:val="28"/>
                <w:szCs w:val="28"/>
                <w:lang w:val="en-US" w:eastAsia="zh-CN"/>
              </w:rPr>
              <w:t>出库质量标准</w:t>
            </w:r>
          </w:p>
        </w:tc>
      </w:tr>
      <w:tr w14:paraId="48B132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4" w:hRule="atLeast"/>
          <w:jc w:val="center"/>
        </w:trPr>
        <w:tc>
          <w:tcPr>
            <w:tcW w:w="621" w:type="dxa"/>
            <w:vMerge w:val="restart"/>
            <w:textDirection w:val="tbLrV"/>
            <w:vAlign w:val="center"/>
          </w:tcPr>
          <w:p w14:paraId="51C1E06F">
            <w:pPr>
              <w:jc w:val="center"/>
              <w:rPr>
                <w:rFonts w:hint="default" w:ascii="仿宋_GB2312" w:hAnsi="仿宋_GB2312" w:eastAsia="仿宋_GB2312" w:cs="仿宋_GB2312"/>
                <w:b w:val="0"/>
                <w:bCs/>
                <w:sz w:val="24"/>
                <w:szCs w:val="24"/>
                <w:lang w:val="en-US" w:eastAsia="zh-CN"/>
              </w:rPr>
            </w:pPr>
            <w:r>
              <w:rPr>
                <w:rFonts w:hint="eastAsia" w:ascii="仿宋_GB2312" w:hAnsi="仿宋_GB2312" w:eastAsia="仿宋_GB2312" w:cs="仿宋_GB2312"/>
                <w:b w:val="0"/>
                <w:bCs/>
                <w:sz w:val="24"/>
                <w:szCs w:val="24"/>
                <w:lang w:val="en-US" w:eastAsia="zh-CN"/>
              </w:rPr>
              <w:t>菜籽油</w:t>
            </w:r>
          </w:p>
        </w:tc>
        <w:tc>
          <w:tcPr>
            <w:tcW w:w="588" w:type="dxa"/>
            <w:vMerge w:val="restart"/>
            <w:textDirection w:val="tbLrV"/>
            <w:vAlign w:val="center"/>
          </w:tcPr>
          <w:p w14:paraId="0E008D29">
            <w:pPr>
              <w:jc w:val="center"/>
              <w:rPr>
                <w:rFonts w:hint="default" w:ascii="仿宋_GB2312" w:hAnsi="仿宋_GB2312" w:eastAsia="仿宋_GB2312" w:cs="仿宋_GB2312"/>
                <w:b w:val="0"/>
                <w:bCs/>
                <w:sz w:val="24"/>
                <w:szCs w:val="24"/>
                <w:lang w:val="en-US" w:eastAsia="zh-CN"/>
              </w:rPr>
            </w:pPr>
            <w:r>
              <w:rPr>
                <w:rFonts w:hint="eastAsia" w:ascii="仿宋_GB2312" w:hAnsi="仿宋_GB2312" w:eastAsia="仿宋_GB2312" w:cs="仿宋_GB2312"/>
                <w:b w:val="0"/>
                <w:bCs/>
                <w:sz w:val="24"/>
                <w:szCs w:val="24"/>
                <w:lang w:val="en-US" w:eastAsia="zh-CN"/>
              </w:rPr>
              <w:t>浸出三级 （其他等级按相应标准执行）</w:t>
            </w:r>
          </w:p>
        </w:tc>
        <w:tc>
          <w:tcPr>
            <w:tcW w:w="572" w:type="dxa"/>
            <w:vMerge w:val="restart"/>
            <w:vAlign w:val="center"/>
          </w:tcPr>
          <w:p w14:paraId="55862981">
            <w:pPr>
              <w:jc w:val="center"/>
              <w:rPr>
                <w:rFonts w:hint="eastAsia" w:ascii="仿宋_GB2312" w:hAnsi="仿宋_GB2312" w:eastAsia="仿宋_GB2312" w:cs="仿宋_GB2312"/>
                <w:b w:val="0"/>
                <w:bCs/>
                <w:sz w:val="24"/>
                <w:szCs w:val="24"/>
                <w:lang w:val="en-US" w:eastAsia="zh-CN"/>
              </w:rPr>
            </w:pPr>
            <w:r>
              <w:rPr>
                <w:rFonts w:hint="eastAsia" w:ascii="仿宋_GB2312" w:hAnsi="仿宋_GB2312" w:eastAsia="仿宋_GB2312" w:cs="仿宋_GB2312"/>
                <w:b w:val="0"/>
                <w:bCs/>
                <w:sz w:val="24"/>
                <w:szCs w:val="24"/>
                <w:lang w:val="en-US" w:eastAsia="zh-CN"/>
              </w:rPr>
              <w:t>质量指标</w:t>
            </w:r>
          </w:p>
          <w:p w14:paraId="6D67CD03">
            <w:pPr>
              <w:jc w:val="center"/>
              <w:rPr>
                <w:rFonts w:hint="default" w:ascii="仿宋_GB2312" w:hAnsi="仿宋_GB2312" w:eastAsia="仿宋_GB2312" w:cs="仿宋_GB2312"/>
                <w:b w:val="0"/>
                <w:bCs/>
                <w:sz w:val="24"/>
                <w:szCs w:val="24"/>
                <w:lang w:val="en-US" w:eastAsia="zh-CN"/>
              </w:rPr>
            </w:pPr>
          </w:p>
        </w:tc>
        <w:tc>
          <w:tcPr>
            <w:tcW w:w="2292" w:type="dxa"/>
            <w:vAlign w:val="center"/>
          </w:tcPr>
          <w:p w14:paraId="2F0EBC82">
            <w:pPr>
              <w:jc w:val="center"/>
              <w:rPr>
                <w:rFonts w:hint="default" w:ascii="仿宋_GB2312" w:hAnsi="仿宋_GB2312" w:eastAsia="仿宋_GB2312" w:cs="仿宋_GB2312"/>
                <w:b w:val="0"/>
                <w:bCs/>
                <w:sz w:val="24"/>
                <w:szCs w:val="24"/>
                <w:lang w:val="en-US" w:eastAsia="zh-CN"/>
              </w:rPr>
            </w:pPr>
            <w:r>
              <w:rPr>
                <w:rFonts w:hint="eastAsia" w:ascii="仿宋_GB2312" w:hAnsi="仿宋_GB2312" w:eastAsia="仿宋_GB2312" w:cs="仿宋_GB2312"/>
                <w:b w:val="0"/>
                <w:bCs/>
                <w:sz w:val="24"/>
                <w:szCs w:val="24"/>
                <w:lang w:val="en-US" w:eastAsia="zh-CN"/>
              </w:rPr>
              <w:t>色泽</w:t>
            </w:r>
          </w:p>
        </w:tc>
        <w:tc>
          <w:tcPr>
            <w:tcW w:w="2812" w:type="dxa"/>
            <w:vAlign w:val="center"/>
          </w:tcPr>
          <w:p w14:paraId="420C2F02">
            <w:pPr>
              <w:jc w:val="center"/>
              <w:rPr>
                <w:rFonts w:hint="default" w:ascii="仿宋_GB2312" w:hAnsi="仿宋_GB2312" w:eastAsia="仿宋_GB2312" w:cs="仿宋_GB2312"/>
                <w:b w:val="0"/>
                <w:bCs/>
                <w:sz w:val="24"/>
                <w:szCs w:val="24"/>
                <w:lang w:val="en-US" w:eastAsia="zh-CN"/>
              </w:rPr>
            </w:pPr>
            <w:r>
              <w:rPr>
                <w:rFonts w:hint="eastAsia" w:ascii="仿宋_GB2312" w:hAnsi="仿宋_GB2312" w:eastAsia="仿宋_GB2312" w:cs="仿宋_GB2312"/>
                <w:b w:val="0"/>
                <w:bCs/>
                <w:sz w:val="24"/>
                <w:szCs w:val="24"/>
                <w:lang w:val="en-US" w:eastAsia="zh-CN"/>
              </w:rPr>
              <w:t>橙黄色至棕褐色</w:t>
            </w:r>
          </w:p>
        </w:tc>
        <w:tc>
          <w:tcPr>
            <w:tcW w:w="2812" w:type="dxa"/>
            <w:vAlign w:val="center"/>
          </w:tcPr>
          <w:p w14:paraId="7D303E80">
            <w:pPr>
              <w:jc w:val="center"/>
              <w:rPr>
                <w:rFonts w:hint="eastAsia" w:ascii="仿宋_GB2312" w:hAnsi="仿宋_GB2312" w:eastAsia="仿宋_GB2312" w:cs="仿宋_GB2312"/>
                <w:b w:val="0"/>
                <w:bCs/>
                <w:kern w:val="2"/>
                <w:sz w:val="24"/>
                <w:szCs w:val="24"/>
                <w:lang w:val="en-US" w:eastAsia="zh-CN" w:bidi="ar-SA"/>
              </w:rPr>
            </w:pPr>
            <w:r>
              <w:rPr>
                <w:rFonts w:hint="eastAsia" w:ascii="仿宋_GB2312" w:hAnsi="仿宋_GB2312" w:eastAsia="仿宋_GB2312" w:cs="仿宋_GB2312"/>
                <w:b w:val="0"/>
                <w:bCs/>
                <w:sz w:val="24"/>
                <w:szCs w:val="24"/>
                <w:lang w:val="en-US" w:eastAsia="zh-CN"/>
              </w:rPr>
              <w:t>橙黄色至棕褐色</w:t>
            </w:r>
          </w:p>
        </w:tc>
      </w:tr>
      <w:tr w14:paraId="514092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4" w:hRule="atLeast"/>
          <w:jc w:val="center"/>
        </w:trPr>
        <w:tc>
          <w:tcPr>
            <w:tcW w:w="621" w:type="dxa"/>
            <w:vMerge w:val="continue"/>
            <w:textDirection w:val="tbLrV"/>
            <w:vAlign w:val="center"/>
          </w:tcPr>
          <w:p w14:paraId="454A7D13">
            <w:pPr>
              <w:jc w:val="center"/>
              <w:rPr>
                <w:rFonts w:hint="eastAsia" w:ascii="仿宋_GB2312" w:hAnsi="仿宋_GB2312" w:eastAsia="仿宋_GB2312" w:cs="仿宋_GB2312"/>
                <w:b w:val="0"/>
                <w:bCs/>
                <w:sz w:val="24"/>
                <w:szCs w:val="24"/>
                <w:lang w:val="en-US" w:eastAsia="zh-CN"/>
              </w:rPr>
            </w:pPr>
          </w:p>
        </w:tc>
        <w:tc>
          <w:tcPr>
            <w:tcW w:w="588" w:type="dxa"/>
            <w:vMerge w:val="continue"/>
            <w:textDirection w:val="tbLrV"/>
            <w:vAlign w:val="center"/>
          </w:tcPr>
          <w:p w14:paraId="5B3ACEDA">
            <w:pPr>
              <w:jc w:val="center"/>
              <w:rPr>
                <w:rFonts w:hint="eastAsia" w:ascii="仿宋_GB2312" w:hAnsi="仿宋_GB2312" w:eastAsia="仿宋_GB2312" w:cs="仿宋_GB2312"/>
                <w:b w:val="0"/>
                <w:bCs/>
                <w:sz w:val="24"/>
                <w:szCs w:val="24"/>
                <w:lang w:val="en-US" w:eastAsia="zh-CN"/>
              </w:rPr>
            </w:pPr>
          </w:p>
        </w:tc>
        <w:tc>
          <w:tcPr>
            <w:tcW w:w="572" w:type="dxa"/>
            <w:vMerge w:val="continue"/>
            <w:textDirection w:val="tbLrV"/>
            <w:vAlign w:val="center"/>
          </w:tcPr>
          <w:p w14:paraId="67C16374">
            <w:pPr>
              <w:jc w:val="center"/>
              <w:rPr>
                <w:rFonts w:hint="eastAsia" w:ascii="仿宋_GB2312" w:hAnsi="仿宋_GB2312" w:eastAsia="仿宋_GB2312" w:cs="仿宋_GB2312"/>
                <w:b w:val="0"/>
                <w:bCs/>
                <w:sz w:val="24"/>
                <w:szCs w:val="24"/>
                <w:lang w:val="en-US" w:eastAsia="zh-CN"/>
              </w:rPr>
            </w:pPr>
          </w:p>
        </w:tc>
        <w:tc>
          <w:tcPr>
            <w:tcW w:w="2292" w:type="dxa"/>
            <w:vAlign w:val="center"/>
          </w:tcPr>
          <w:p w14:paraId="04457955">
            <w:pPr>
              <w:jc w:val="center"/>
              <w:rPr>
                <w:rFonts w:hint="eastAsia" w:ascii="仿宋_GB2312" w:hAnsi="仿宋_GB2312" w:eastAsia="仿宋_GB2312" w:cs="仿宋_GB2312"/>
                <w:b w:val="0"/>
                <w:bCs/>
                <w:sz w:val="24"/>
                <w:szCs w:val="24"/>
                <w:lang w:val="en-US" w:eastAsia="zh-CN"/>
              </w:rPr>
            </w:pPr>
            <w:r>
              <w:rPr>
                <w:rFonts w:hint="eastAsia" w:ascii="仿宋_GB2312" w:hAnsi="仿宋_GB2312" w:eastAsia="仿宋_GB2312" w:cs="仿宋_GB2312"/>
                <w:b w:val="0"/>
                <w:bCs/>
                <w:sz w:val="24"/>
                <w:szCs w:val="24"/>
                <w:lang w:val="en-US" w:eastAsia="zh-CN"/>
              </w:rPr>
              <w:t>透明度（20℃）</w:t>
            </w:r>
          </w:p>
        </w:tc>
        <w:tc>
          <w:tcPr>
            <w:tcW w:w="2812" w:type="dxa"/>
            <w:vAlign w:val="center"/>
          </w:tcPr>
          <w:p w14:paraId="0612186F">
            <w:pPr>
              <w:jc w:val="center"/>
              <w:rPr>
                <w:rFonts w:hint="eastAsia" w:ascii="仿宋_GB2312" w:hAnsi="仿宋_GB2312" w:eastAsia="仿宋_GB2312" w:cs="仿宋_GB2312"/>
                <w:b w:val="0"/>
                <w:bCs/>
                <w:sz w:val="24"/>
                <w:szCs w:val="24"/>
                <w:lang w:val="en-US" w:eastAsia="zh-CN"/>
              </w:rPr>
            </w:pPr>
            <w:r>
              <w:rPr>
                <w:rFonts w:hint="eastAsia" w:ascii="仿宋_GB2312" w:hAnsi="仿宋_GB2312" w:eastAsia="仿宋_GB2312" w:cs="仿宋_GB2312"/>
                <w:b w:val="0"/>
                <w:bCs/>
                <w:sz w:val="24"/>
                <w:szCs w:val="24"/>
                <w:lang w:val="en-US" w:eastAsia="zh-CN"/>
              </w:rPr>
              <w:t>允许微浊</w:t>
            </w:r>
          </w:p>
        </w:tc>
        <w:tc>
          <w:tcPr>
            <w:tcW w:w="2812" w:type="dxa"/>
            <w:vAlign w:val="center"/>
          </w:tcPr>
          <w:p w14:paraId="31DAB359">
            <w:pPr>
              <w:jc w:val="center"/>
              <w:rPr>
                <w:rFonts w:hint="eastAsia" w:ascii="仿宋_GB2312" w:hAnsi="仿宋_GB2312" w:eastAsia="仿宋_GB2312" w:cs="仿宋_GB2312"/>
                <w:b w:val="0"/>
                <w:bCs/>
                <w:kern w:val="2"/>
                <w:sz w:val="24"/>
                <w:szCs w:val="24"/>
                <w:lang w:val="en-US" w:eastAsia="zh-CN" w:bidi="ar-SA"/>
              </w:rPr>
            </w:pPr>
            <w:r>
              <w:rPr>
                <w:rFonts w:hint="eastAsia" w:ascii="仿宋_GB2312" w:hAnsi="仿宋_GB2312" w:eastAsia="仿宋_GB2312" w:cs="仿宋_GB2312"/>
                <w:b w:val="0"/>
                <w:bCs/>
                <w:sz w:val="24"/>
                <w:szCs w:val="24"/>
                <w:lang w:val="en-US" w:eastAsia="zh-CN"/>
              </w:rPr>
              <w:t>允许微浊</w:t>
            </w:r>
          </w:p>
        </w:tc>
      </w:tr>
      <w:tr w14:paraId="7086CA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4" w:hRule="atLeast"/>
          <w:jc w:val="center"/>
        </w:trPr>
        <w:tc>
          <w:tcPr>
            <w:tcW w:w="621" w:type="dxa"/>
            <w:vMerge w:val="continue"/>
            <w:vAlign w:val="center"/>
          </w:tcPr>
          <w:p w14:paraId="0824DB92">
            <w:pPr>
              <w:jc w:val="center"/>
              <w:rPr>
                <w:rFonts w:hint="eastAsia" w:ascii="仿宋_GB2312" w:hAnsi="仿宋_GB2312" w:eastAsia="仿宋_GB2312" w:cs="仿宋_GB2312"/>
                <w:b w:val="0"/>
                <w:bCs/>
                <w:sz w:val="24"/>
                <w:szCs w:val="24"/>
                <w:lang w:val="en-US" w:eastAsia="zh-CN"/>
              </w:rPr>
            </w:pPr>
          </w:p>
        </w:tc>
        <w:tc>
          <w:tcPr>
            <w:tcW w:w="588" w:type="dxa"/>
            <w:vMerge w:val="continue"/>
            <w:vAlign w:val="center"/>
          </w:tcPr>
          <w:p w14:paraId="20FB4A3E">
            <w:pPr>
              <w:jc w:val="center"/>
              <w:rPr>
                <w:rFonts w:hint="eastAsia" w:ascii="仿宋_GB2312" w:hAnsi="仿宋_GB2312" w:eastAsia="仿宋_GB2312" w:cs="仿宋_GB2312"/>
                <w:b w:val="0"/>
                <w:bCs/>
                <w:sz w:val="24"/>
                <w:szCs w:val="24"/>
                <w:lang w:val="en-US" w:eastAsia="zh-CN"/>
              </w:rPr>
            </w:pPr>
          </w:p>
        </w:tc>
        <w:tc>
          <w:tcPr>
            <w:tcW w:w="572" w:type="dxa"/>
            <w:vMerge w:val="continue"/>
            <w:vAlign w:val="center"/>
          </w:tcPr>
          <w:p w14:paraId="1A756F9E">
            <w:pPr>
              <w:jc w:val="center"/>
              <w:rPr>
                <w:rFonts w:hint="eastAsia" w:ascii="仿宋_GB2312" w:hAnsi="仿宋_GB2312" w:eastAsia="仿宋_GB2312" w:cs="仿宋_GB2312"/>
                <w:b w:val="0"/>
                <w:bCs/>
                <w:sz w:val="24"/>
                <w:szCs w:val="24"/>
                <w:lang w:val="en-US" w:eastAsia="zh-CN"/>
              </w:rPr>
            </w:pPr>
          </w:p>
        </w:tc>
        <w:tc>
          <w:tcPr>
            <w:tcW w:w="2292" w:type="dxa"/>
            <w:vAlign w:val="center"/>
          </w:tcPr>
          <w:p w14:paraId="710B3A97">
            <w:pPr>
              <w:jc w:val="center"/>
              <w:rPr>
                <w:rFonts w:hint="default" w:ascii="仿宋_GB2312" w:hAnsi="仿宋_GB2312" w:eastAsia="仿宋_GB2312" w:cs="仿宋_GB2312"/>
                <w:b w:val="0"/>
                <w:bCs/>
                <w:sz w:val="24"/>
                <w:szCs w:val="24"/>
                <w:lang w:val="en-US" w:eastAsia="zh-CN"/>
              </w:rPr>
            </w:pPr>
            <w:r>
              <w:rPr>
                <w:rFonts w:hint="eastAsia" w:ascii="仿宋_GB2312" w:hAnsi="仿宋_GB2312" w:eastAsia="仿宋_GB2312" w:cs="仿宋_GB2312"/>
                <w:b w:val="0"/>
                <w:bCs/>
                <w:sz w:val="24"/>
                <w:szCs w:val="24"/>
                <w:lang w:val="en-US" w:eastAsia="zh-CN"/>
              </w:rPr>
              <w:t>气味、滋味</w:t>
            </w:r>
          </w:p>
        </w:tc>
        <w:tc>
          <w:tcPr>
            <w:tcW w:w="2812" w:type="dxa"/>
            <w:vAlign w:val="center"/>
          </w:tcPr>
          <w:p w14:paraId="26F9FCCA">
            <w:pPr>
              <w:jc w:val="center"/>
              <w:rPr>
                <w:rFonts w:hint="eastAsia" w:ascii="仿宋_GB2312" w:hAnsi="仿宋_GB2312" w:eastAsia="仿宋_GB2312" w:cs="仿宋_GB2312"/>
                <w:b w:val="0"/>
                <w:bCs/>
                <w:sz w:val="24"/>
                <w:szCs w:val="24"/>
                <w:lang w:val="en-US" w:eastAsia="zh-CN"/>
              </w:rPr>
            </w:pPr>
            <w:r>
              <w:rPr>
                <w:rFonts w:hint="eastAsia" w:ascii="仿宋_GB2312" w:hAnsi="仿宋_GB2312" w:eastAsia="仿宋_GB2312" w:cs="仿宋_GB2312"/>
                <w:b w:val="0"/>
                <w:bCs/>
                <w:sz w:val="24"/>
                <w:szCs w:val="24"/>
                <w:lang w:val="en-US" w:eastAsia="zh-CN"/>
              </w:rPr>
              <w:t>具有菜籽油固有气味和滋味，无异味</w:t>
            </w:r>
          </w:p>
        </w:tc>
        <w:tc>
          <w:tcPr>
            <w:tcW w:w="2812" w:type="dxa"/>
            <w:vAlign w:val="center"/>
          </w:tcPr>
          <w:p w14:paraId="6198CE3C">
            <w:pPr>
              <w:jc w:val="center"/>
              <w:rPr>
                <w:rFonts w:hint="eastAsia" w:ascii="仿宋_GB2312" w:hAnsi="仿宋_GB2312" w:eastAsia="仿宋_GB2312" w:cs="仿宋_GB2312"/>
                <w:b w:val="0"/>
                <w:bCs/>
                <w:kern w:val="2"/>
                <w:sz w:val="24"/>
                <w:szCs w:val="24"/>
                <w:lang w:val="en-US" w:eastAsia="zh-CN" w:bidi="ar-SA"/>
              </w:rPr>
            </w:pPr>
            <w:r>
              <w:rPr>
                <w:rFonts w:hint="eastAsia" w:ascii="仿宋_GB2312" w:hAnsi="仿宋_GB2312" w:eastAsia="仿宋_GB2312" w:cs="仿宋_GB2312"/>
                <w:b w:val="0"/>
                <w:bCs/>
                <w:sz w:val="24"/>
                <w:szCs w:val="24"/>
                <w:lang w:val="en-US" w:eastAsia="zh-CN"/>
              </w:rPr>
              <w:t>具有菜籽油固有气味和滋味，无异味</w:t>
            </w:r>
          </w:p>
        </w:tc>
      </w:tr>
      <w:tr w14:paraId="43B9B6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4" w:hRule="atLeast"/>
          <w:jc w:val="center"/>
        </w:trPr>
        <w:tc>
          <w:tcPr>
            <w:tcW w:w="621" w:type="dxa"/>
            <w:vMerge w:val="continue"/>
            <w:vAlign w:val="center"/>
          </w:tcPr>
          <w:p w14:paraId="7FF2DCCA">
            <w:pPr>
              <w:jc w:val="center"/>
              <w:rPr>
                <w:rFonts w:hint="eastAsia" w:ascii="仿宋_GB2312" w:hAnsi="仿宋_GB2312" w:eastAsia="仿宋_GB2312" w:cs="仿宋_GB2312"/>
                <w:b w:val="0"/>
                <w:bCs/>
                <w:sz w:val="24"/>
                <w:szCs w:val="24"/>
                <w:lang w:val="en-US" w:eastAsia="zh-CN"/>
              </w:rPr>
            </w:pPr>
          </w:p>
        </w:tc>
        <w:tc>
          <w:tcPr>
            <w:tcW w:w="588" w:type="dxa"/>
            <w:vMerge w:val="continue"/>
            <w:vAlign w:val="center"/>
          </w:tcPr>
          <w:p w14:paraId="3F253151">
            <w:pPr>
              <w:jc w:val="center"/>
              <w:rPr>
                <w:rFonts w:hint="eastAsia" w:ascii="仿宋_GB2312" w:hAnsi="仿宋_GB2312" w:eastAsia="仿宋_GB2312" w:cs="仿宋_GB2312"/>
                <w:b w:val="0"/>
                <w:bCs/>
                <w:sz w:val="24"/>
                <w:szCs w:val="24"/>
                <w:lang w:val="en-US" w:eastAsia="zh-CN"/>
              </w:rPr>
            </w:pPr>
          </w:p>
        </w:tc>
        <w:tc>
          <w:tcPr>
            <w:tcW w:w="572" w:type="dxa"/>
            <w:vMerge w:val="continue"/>
            <w:vAlign w:val="center"/>
          </w:tcPr>
          <w:p w14:paraId="7DB52E3A">
            <w:pPr>
              <w:jc w:val="center"/>
              <w:rPr>
                <w:rFonts w:hint="eastAsia" w:ascii="仿宋_GB2312" w:hAnsi="仿宋_GB2312" w:eastAsia="仿宋_GB2312" w:cs="仿宋_GB2312"/>
                <w:b w:val="0"/>
                <w:bCs/>
                <w:sz w:val="24"/>
                <w:szCs w:val="24"/>
                <w:lang w:val="en-US" w:eastAsia="zh-CN"/>
              </w:rPr>
            </w:pPr>
          </w:p>
        </w:tc>
        <w:tc>
          <w:tcPr>
            <w:tcW w:w="2292" w:type="dxa"/>
            <w:vAlign w:val="center"/>
          </w:tcPr>
          <w:p w14:paraId="19F5D365">
            <w:pPr>
              <w:jc w:val="center"/>
              <w:rPr>
                <w:rFonts w:hint="eastAsia" w:ascii="仿宋_GB2312" w:hAnsi="仿宋_GB2312" w:eastAsia="仿宋_GB2312" w:cs="仿宋_GB2312"/>
                <w:b w:val="0"/>
                <w:bCs/>
                <w:kern w:val="2"/>
                <w:sz w:val="24"/>
                <w:szCs w:val="24"/>
                <w:lang w:val="en-US" w:eastAsia="zh-CN" w:bidi="ar-SA"/>
              </w:rPr>
            </w:pPr>
            <w:r>
              <w:rPr>
                <w:rFonts w:hint="eastAsia" w:ascii="仿宋_GB2312" w:hAnsi="仿宋_GB2312" w:eastAsia="仿宋_GB2312" w:cs="仿宋_GB2312"/>
                <w:b w:val="0"/>
                <w:bCs/>
                <w:sz w:val="24"/>
                <w:szCs w:val="24"/>
                <w:lang w:val="en-US" w:eastAsia="zh-CN"/>
              </w:rPr>
              <w:t>加热试验（280℃）</w:t>
            </w:r>
          </w:p>
        </w:tc>
        <w:tc>
          <w:tcPr>
            <w:tcW w:w="2812" w:type="dxa"/>
            <w:vAlign w:val="center"/>
          </w:tcPr>
          <w:p w14:paraId="72B0AB92">
            <w:pPr>
              <w:jc w:val="center"/>
              <w:rPr>
                <w:rFonts w:hint="eastAsia" w:ascii="仿宋_GB2312" w:hAnsi="仿宋_GB2312" w:eastAsia="仿宋_GB2312" w:cs="仿宋_GB2312"/>
                <w:b w:val="0"/>
                <w:bCs/>
                <w:kern w:val="2"/>
                <w:sz w:val="24"/>
                <w:szCs w:val="24"/>
                <w:lang w:val="en-US" w:eastAsia="zh-CN" w:bidi="ar-SA"/>
              </w:rPr>
            </w:pPr>
            <w:r>
              <w:rPr>
                <w:rFonts w:hint="eastAsia" w:ascii="仿宋_GB2312" w:hAnsi="仿宋_GB2312" w:eastAsia="仿宋_GB2312" w:cs="仿宋_GB2312"/>
                <w:b w:val="0"/>
                <w:bCs/>
                <w:sz w:val="24"/>
                <w:szCs w:val="24"/>
                <w:lang w:val="en-US" w:eastAsia="zh-CN"/>
              </w:rPr>
              <w:t>允许微量析出物和油色变深，但不得变黑</w:t>
            </w:r>
          </w:p>
        </w:tc>
        <w:tc>
          <w:tcPr>
            <w:tcW w:w="2812" w:type="dxa"/>
            <w:vAlign w:val="center"/>
          </w:tcPr>
          <w:p w14:paraId="3ABFF22E">
            <w:pPr>
              <w:jc w:val="center"/>
              <w:rPr>
                <w:rFonts w:hint="eastAsia" w:ascii="仿宋_GB2312" w:hAnsi="仿宋_GB2312" w:eastAsia="仿宋_GB2312" w:cs="仿宋_GB2312"/>
                <w:b w:val="0"/>
                <w:bCs/>
                <w:kern w:val="2"/>
                <w:sz w:val="24"/>
                <w:szCs w:val="24"/>
                <w:lang w:val="en-US" w:eastAsia="zh-CN" w:bidi="ar-SA"/>
              </w:rPr>
            </w:pPr>
            <w:r>
              <w:rPr>
                <w:rFonts w:hint="eastAsia" w:ascii="仿宋_GB2312" w:hAnsi="仿宋_GB2312" w:eastAsia="仿宋_GB2312" w:cs="仿宋_GB2312"/>
                <w:b w:val="0"/>
                <w:bCs/>
                <w:sz w:val="24"/>
                <w:szCs w:val="24"/>
                <w:lang w:val="en-US" w:eastAsia="zh-CN"/>
              </w:rPr>
              <w:t>允许微量析出物和油色变深，但不得变黑</w:t>
            </w:r>
          </w:p>
        </w:tc>
      </w:tr>
      <w:tr w14:paraId="003E2A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4" w:hRule="atLeast"/>
          <w:jc w:val="center"/>
        </w:trPr>
        <w:tc>
          <w:tcPr>
            <w:tcW w:w="621" w:type="dxa"/>
            <w:vMerge w:val="continue"/>
            <w:vAlign w:val="center"/>
          </w:tcPr>
          <w:p w14:paraId="0AE893ED">
            <w:pPr>
              <w:jc w:val="center"/>
              <w:rPr>
                <w:rFonts w:hint="eastAsia" w:ascii="仿宋_GB2312" w:hAnsi="仿宋_GB2312" w:eastAsia="仿宋_GB2312" w:cs="仿宋_GB2312"/>
                <w:b w:val="0"/>
                <w:bCs/>
                <w:sz w:val="24"/>
                <w:szCs w:val="24"/>
                <w:lang w:val="en-US" w:eastAsia="zh-CN"/>
              </w:rPr>
            </w:pPr>
          </w:p>
        </w:tc>
        <w:tc>
          <w:tcPr>
            <w:tcW w:w="588" w:type="dxa"/>
            <w:vMerge w:val="continue"/>
            <w:vAlign w:val="center"/>
          </w:tcPr>
          <w:p w14:paraId="75FF926C">
            <w:pPr>
              <w:jc w:val="center"/>
              <w:rPr>
                <w:rFonts w:hint="eastAsia" w:ascii="仿宋_GB2312" w:hAnsi="仿宋_GB2312" w:eastAsia="仿宋_GB2312" w:cs="仿宋_GB2312"/>
                <w:b w:val="0"/>
                <w:bCs/>
                <w:sz w:val="24"/>
                <w:szCs w:val="24"/>
                <w:lang w:val="en-US" w:eastAsia="zh-CN"/>
              </w:rPr>
            </w:pPr>
          </w:p>
        </w:tc>
        <w:tc>
          <w:tcPr>
            <w:tcW w:w="572" w:type="dxa"/>
            <w:vMerge w:val="continue"/>
            <w:vAlign w:val="center"/>
          </w:tcPr>
          <w:p w14:paraId="3DC20581">
            <w:pPr>
              <w:jc w:val="center"/>
              <w:rPr>
                <w:rFonts w:hint="eastAsia" w:ascii="仿宋_GB2312" w:hAnsi="仿宋_GB2312" w:eastAsia="仿宋_GB2312" w:cs="仿宋_GB2312"/>
                <w:b w:val="0"/>
                <w:bCs/>
                <w:sz w:val="24"/>
                <w:szCs w:val="24"/>
                <w:lang w:val="en-US" w:eastAsia="zh-CN"/>
              </w:rPr>
            </w:pPr>
          </w:p>
        </w:tc>
        <w:tc>
          <w:tcPr>
            <w:tcW w:w="2292" w:type="dxa"/>
            <w:vAlign w:val="center"/>
          </w:tcPr>
          <w:p w14:paraId="622B0179">
            <w:pPr>
              <w:jc w:val="center"/>
              <w:rPr>
                <w:rFonts w:hint="default" w:ascii="仿宋_GB2312" w:hAnsi="仿宋_GB2312" w:eastAsia="仿宋_GB2312" w:cs="仿宋_GB2312"/>
                <w:b w:val="0"/>
                <w:bCs/>
                <w:sz w:val="24"/>
                <w:szCs w:val="24"/>
                <w:lang w:val="en-US" w:eastAsia="zh-CN"/>
              </w:rPr>
            </w:pPr>
            <w:r>
              <w:rPr>
                <w:rFonts w:hint="eastAsia" w:ascii="仿宋_GB2312" w:hAnsi="仿宋_GB2312" w:eastAsia="仿宋_GB2312" w:cs="仿宋_GB2312"/>
                <w:b w:val="0"/>
                <w:bCs/>
                <w:sz w:val="24"/>
                <w:szCs w:val="24"/>
                <w:lang w:val="en-US" w:eastAsia="zh-CN"/>
              </w:rPr>
              <w:t>水分及挥</w:t>
            </w:r>
            <w:bookmarkStart w:id="0" w:name="_GoBack"/>
            <w:bookmarkEnd w:id="0"/>
            <w:r>
              <w:rPr>
                <w:rFonts w:hint="eastAsia" w:ascii="仿宋_GB2312" w:hAnsi="仿宋_GB2312" w:eastAsia="仿宋_GB2312" w:cs="仿宋_GB2312"/>
                <w:b w:val="0"/>
                <w:bCs/>
                <w:sz w:val="24"/>
                <w:szCs w:val="24"/>
                <w:lang w:val="en-US" w:eastAsia="zh-CN"/>
              </w:rPr>
              <w:t>发物含量</w:t>
            </w:r>
          </w:p>
        </w:tc>
        <w:tc>
          <w:tcPr>
            <w:tcW w:w="2812" w:type="dxa"/>
            <w:vAlign w:val="center"/>
          </w:tcPr>
          <w:p w14:paraId="1E504CF2">
            <w:pPr>
              <w:jc w:val="center"/>
              <w:rPr>
                <w:rFonts w:hint="eastAsia" w:ascii="仿宋_GB2312" w:hAnsi="仿宋_GB2312" w:eastAsia="仿宋_GB2312" w:cs="仿宋_GB2312"/>
                <w:b w:val="0"/>
                <w:bCs/>
                <w:sz w:val="24"/>
                <w:szCs w:val="24"/>
                <w:lang w:val="en-US" w:eastAsia="zh-CN"/>
              </w:rPr>
            </w:pPr>
            <w:r>
              <w:rPr>
                <w:rFonts w:hint="eastAsia" w:ascii="仿宋_GB2312" w:hAnsi="仿宋_GB2312" w:eastAsia="仿宋_GB2312" w:cs="仿宋_GB2312"/>
                <w:b w:val="0"/>
                <w:bCs/>
                <w:sz w:val="24"/>
                <w:szCs w:val="24"/>
                <w:lang w:val="en-US" w:eastAsia="zh-CN"/>
              </w:rPr>
              <w:t>≤0.20%</w:t>
            </w:r>
          </w:p>
        </w:tc>
        <w:tc>
          <w:tcPr>
            <w:tcW w:w="2812" w:type="dxa"/>
            <w:vAlign w:val="center"/>
          </w:tcPr>
          <w:p w14:paraId="6D752E43">
            <w:pPr>
              <w:jc w:val="center"/>
              <w:rPr>
                <w:rFonts w:hint="eastAsia" w:ascii="仿宋_GB2312" w:hAnsi="仿宋_GB2312" w:eastAsia="仿宋_GB2312" w:cs="仿宋_GB2312"/>
                <w:b w:val="0"/>
                <w:bCs/>
                <w:kern w:val="2"/>
                <w:sz w:val="24"/>
                <w:szCs w:val="24"/>
                <w:lang w:val="en-US" w:eastAsia="zh-CN" w:bidi="ar-SA"/>
              </w:rPr>
            </w:pPr>
            <w:r>
              <w:rPr>
                <w:rFonts w:hint="eastAsia" w:ascii="仿宋_GB2312" w:hAnsi="仿宋_GB2312" w:eastAsia="仿宋_GB2312" w:cs="仿宋_GB2312"/>
                <w:b w:val="0"/>
                <w:bCs/>
                <w:sz w:val="24"/>
                <w:szCs w:val="24"/>
                <w:lang w:val="en-US" w:eastAsia="zh-CN"/>
              </w:rPr>
              <w:t>≤0.20%</w:t>
            </w:r>
          </w:p>
        </w:tc>
      </w:tr>
      <w:tr w14:paraId="5092A4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4" w:hRule="atLeast"/>
          <w:jc w:val="center"/>
        </w:trPr>
        <w:tc>
          <w:tcPr>
            <w:tcW w:w="621" w:type="dxa"/>
            <w:vMerge w:val="continue"/>
            <w:vAlign w:val="center"/>
          </w:tcPr>
          <w:p w14:paraId="577CB900">
            <w:pPr>
              <w:jc w:val="center"/>
              <w:rPr>
                <w:rFonts w:hint="eastAsia" w:ascii="仿宋_GB2312" w:hAnsi="仿宋_GB2312" w:eastAsia="仿宋_GB2312" w:cs="仿宋_GB2312"/>
                <w:b w:val="0"/>
                <w:bCs/>
                <w:sz w:val="24"/>
                <w:szCs w:val="24"/>
                <w:lang w:val="en-US" w:eastAsia="zh-CN"/>
              </w:rPr>
            </w:pPr>
          </w:p>
        </w:tc>
        <w:tc>
          <w:tcPr>
            <w:tcW w:w="588" w:type="dxa"/>
            <w:vMerge w:val="continue"/>
            <w:vAlign w:val="center"/>
          </w:tcPr>
          <w:p w14:paraId="5D1EB8E0">
            <w:pPr>
              <w:jc w:val="center"/>
              <w:rPr>
                <w:rFonts w:hint="eastAsia" w:ascii="仿宋_GB2312" w:hAnsi="仿宋_GB2312" w:eastAsia="仿宋_GB2312" w:cs="仿宋_GB2312"/>
                <w:b w:val="0"/>
                <w:bCs/>
                <w:sz w:val="24"/>
                <w:szCs w:val="24"/>
                <w:lang w:val="en-US" w:eastAsia="zh-CN"/>
              </w:rPr>
            </w:pPr>
          </w:p>
        </w:tc>
        <w:tc>
          <w:tcPr>
            <w:tcW w:w="572" w:type="dxa"/>
            <w:vMerge w:val="continue"/>
            <w:vAlign w:val="center"/>
          </w:tcPr>
          <w:p w14:paraId="5F8604FE">
            <w:pPr>
              <w:jc w:val="center"/>
              <w:rPr>
                <w:rFonts w:hint="eastAsia" w:ascii="仿宋_GB2312" w:hAnsi="仿宋_GB2312" w:eastAsia="仿宋_GB2312" w:cs="仿宋_GB2312"/>
                <w:b w:val="0"/>
                <w:bCs/>
                <w:sz w:val="24"/>
                <w:szCs w:val="24"/>
                <w:lang w:val="en-US" w:eastAsia="zh-CN"/>
              </w:rPr>
            </w:pPr>
          </w:p>
        </w:tc>
        <w:tc>
          <w:tcPr>
            <w:tcW w:w="2292" w:type="dxa"/>
            <w:vAlign w:val="center"/>
          </w:tcPr>
          <w:p w14:paraId="59753D68">
            <w:pPr>
              <w:jc w:val="center"/>
              <w:rPr>
                <w:rFonts w:hint="eastAsia" w:ascii="仿宋_GB2312" w:hAnsi="仿宋_GB2312" w:eastAsia="仿宋_GB2312" w:cs="仿宋_GB2312"/>
                <w:b w:val="0"/>
                <w:bCs/>
                <w:sz w:val="24"/>
                <w:szCs w:val="24"/>
                <w:lang w:val="en-US" w:eastAsia="zh-CN"/>
              </w:rPr>
            </w:pPr>
            <w:r>
              <w:rPr>
                <w:rFonts w:hint="eastAsia" w:ascii="仿宋_GB2312" w:hAnsi="仿宋_GB2312" w:eastAsia="仿宋_GB2312" w:cs="仿宋_GB2312"/>
                <w:b w:val="0"/>
                <w:bCs/>
                <w:sz w:val="24"/>
                <w:szCs w:val="24"/>
                <w:lang w:val="en-US" w:eastAsia="zh-CN"/>
              </w:rPr>
              <w:t>酸价（以KOH计）</w:t>
            </w:r>
          </w:p>
        </w:tc>
        <w:tc>
          <w:tcPr>
            <w:tcW w:w="2812" w:type="dxa"/>
            <w:vAlign w:val="center"/>
          </w:tcPr>
          <w:p w14:paraId="7722EEBE">
            <w:pPr>
              <w:jc w:val="center"/>
              <w:rPr>
                <w:rFonts w:hint="eastAsia" w:ascii="仿宋_GB2312" w:hAnsi="仿宋_GB2312" w:eastAsia="仿宋_GB2312" w:cs="仿宋_GB2312"/>
                <w:b w:val="0"/>
                <w:bCs/>
                <w:sz w:val="24"/>
                <w:szCs w:val="24"/>
                <w:lang w:val="en-US" w:eastAsia="zh-CN"/>
              </w:rPr>
            </w:pPr>
            <w:r>
              <w:rPr>
                <w:rFonts w:hint="eastAsia" w:ascii="仿宋_GB2312" w:hAnsi="仿宋_GB2312" w:eastAsia="仿宋_GB2312" w:cs="仿宋_GB2312"/>
                <w:b w:val="0"/>
                <w:bCs/>
                <w:sz w:val="24"/>
                <w:szCs w:val="24"/>
                <w:lang w:val="en-US" w:eastAsia="zh-CN"/>
              </w:rPr>
              <w:t>≤1.8mg/g</w:t>
            </w:r>
          </w:p>
          <w:p w14:paraId="1791E1FC">
            <w:pPr>
              <w:jc w:val="center"/>
              <w:rPr>
                <w:rFonts w:hint="default" w:ascii="仿宋_GB2312" w:hAnsi="仿宋_GB2312" w:eastAsia="仿宋_GB2312" w:cs="仿宋_GB2312"/>
                <w:b w:val="0"/>
                <w:bCs/>
                <w:sz w:val="24"/>
                <w:szCs w:val="24"/>
                <w:lang w:val="en-US" w:eastAsia="zh-CN"/>
              </w:rPr>
            </w:pPr>
            <w:r>
              <w:rPr>
                <w:rFonts w:hint="eastAsia" w:ascii="仿宋_GB2312" w:hAnsi="仿宋_GB2312" w:eastAsia="仿宋_GB2312" w:cs="仿宋_GB2312"/>
                <w:b w:val="0"/>
                <w:bCs/>
                <w:sz w:val="24"/>
                <w:szCs w:val="24"/>
                <w:lang w:val="en-US" w:eastAsia="zh-CN"/>
              </w:rPr>
              <w:t>（或粮权单位要求）</w:t>
            </w:r>
          </w:p>
        </w:tc>
        <w:tc>
          <w:tcPr>
            <w:tcW w:w="2812" w:type="dxa"/>
            <w:vAlign w:val="center"/>
          </w:tcPr>
          <w:p w14:paraId="23CBB85B">
            <w:pPr>
              <w:jc w:val="center"/>
              <w:rPr>
                <w:rFonts w:hint="eastAsia" w:ascii="仿宋_GB2312" w:hAnsi="仿宋_GB2312" w:eastAsia="仿宋_GB2312" w:cs="仿宋_GB2312"/>
                <w:b w:val="0"/>
                <w:bCs/>
                <w:kern w:val="2"/>
                <w:sz w:val="24"/>
                <w:szCs w:val="24"/>
                <w:lang w:val="en-US" w:eastAsia="zh-CN" w:bidi="ar-SA"/>
              </w:rPr>
            </w:pPr>
            <w:r>
              <w:rPr>
                <w:rFonts w:hint="eastAsia" w:ascii="仿宋_GB2312" w:hAnsi="仿宋_GB2312" w:eastAsia="仿宋_GB2312" w:cs="仿宋_GB2312"/>
                <w:b w:val="0"/>
                <w:bCs/>
                <w:sz w:val="24"/>
                <w:szCs w:val="24"/>
                <w:lang w:val="en-US" w:eastAsia="zh-CN"/>
              </w:rPr>
              <w:t>≤3.0mg/g</w:t>
            </w:r>
          </w:p>
        </w:tc>
      </w:tr>
      <w:tr w14:paraId="7BE160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4" w:hRule="atLeast"/>
          <w:jc w:val="center"/>
        </w:trPr>
        <w:tc>
          <w:tcPr>
            <w:tcW w:w="621" w:type="dxa"/>
            <w:vMerge w:val="continue"/>
            <w:vAlign w:val="center"/>
          </w:tcPr>
          <w:p w14:paraId="0F380A1D">
            <w:pPr>
              <w:jc w:val="center"/>
              <w:rPr>
                <w:rFonts w:hint="eastAsia" w:ascii="仿宋_GB2312" w:hAnsi="仿宋_GB2312" w:eastAsia="仿宋_GB2312" w:cs="仿宋_GB2312"/>
                <w:b w:val="0"/>
                <w:bCs/>
                <w:sz w:val="24"/>
                <w:szCs w:val="24"/>
                <w:lang w:val="en-US" w:eastAsia="zh-CN"/>
              </w:rPr>
            </w:pPr>
          </w:p>
        </w:tc>
        <w:tc>
          <w:tcPr>
            <w:tcW w:w="588" w:type="dxa"/>
            <w:vMerge w:val="continue"/>
            <w:vAlign w:val="center"/>
          </w:tcPr>
          <w:p w14:paraId="5D3748E8">
            <w:pPr>
              <w:jc w:val="center"/>
              <w:rPr>
                <w:rFonts w:hint="eastAsia" w:ascii="仿宋_GB2312" w:hAnsi="仿宋_GB2312" w:eastAsia="仿宋_GB2312" w:cs="仿宋_GB2312"/>
                <w:b w:val="0"/>
                <w:bCs/>
                <w:sz w:val="24"/>
                <w:szCs w:val="24"/>
                <w:lang w:val="en-US" w:eastAsia="zh-CN"/>
              </w:rPr>
            </w:pPr>
          </w:p>
        </w:tc>
        <w:tc>
          <w:tcPr>
            <w:tcW w:w="572" w:type="dxa"/>
            <w:vMerge w:val="continue"/>
            <w:vAlign w:val="center"/>
          </w:tcPr>
          <w:p w14:paraId="422CC761">
            <w:pPr>
              <w:jc w:val="center"/>
              <w:rPr>
                <w:rFonts w:hint="eastAsia" w:ascii="仿宋_GB2312" w:hAnsi="仿宋_GB2312" w:eastAsia="仿宋_GB2312" w:cs="仿宋_GB2312"/>
                <w:b w:val="0"/>
                <w:bCs/>
                <w:sz w:val="24"/>
                <w:szCs w:val="24"/>
                <w:lang w:val="en-US" w:eastAsia="zh-CN"/>
              </w:rPr>
            </w:pPr>
          </w:p>
        </w:tc>
        <w:tc>
          <w:tcPr>
            <w:tcW w:w="2292" w:type="dxa"/>
            <w:vAlign w:val="center"/>
          </w:tcPr>
          <w:p w14:paraId="5485E9B7">
            <w:pPr>
              <w:jc w:val="center"/>
              <w:rPr>
                <w:rFonts w:hint="eastAsia" w:ascii="仿宋_GB2312" w:hAnsi="仿宋_GB2312" w:eastAsia="仿宋_GB2312" w:cs="仿宋_GB2312"/>
                <w:b w:val="0"/>
                <w:bCs/>
                <w:sz w:val="24"/>
                <w:szCs w:val="24"/>
                <w:lang w:val="en-US" w:eastAsia="zh-CN"/>
              </w:rPr>
            </w:pPr>
            <w:r>
              <w:rPr>
                <w:rFonts w:hint="eastAsia" w:ascii="仿宋_GB2312" w:hAnsi="仿宋_GB2312" w:eastAsia="仿宋_GB2312" w:cs="仿宋_GB2312"/>
                <w:b w:val="0"/>
                <w:bCs/>
                <w:sz w:val="24"/>
                <w:szCs w:val="24"/>
                <w:lang w:val="en-US" w:eastAsia="zh-CN"/>
              </w:rPr>
              <w:t>过氧化值</w:t>
            </w:r>
          </w:p>
        </w:tc>
        <w:tc>
          <w:tcPr>
            <w:tcW w:w="2812" w:type="dxa"/>
            <w:vAlign w:val="center"/>
          </w:tcPr>
          <w:p w14:paraId="2492A0CC">
            <w:pPr>
              <w:jc w:val="center"/>
              <w:rPr>
                <w:rFonts w:hint="eastAsia" w:ascii="仿宋_GB2312" w:hAnsi="仿宋_GB2312" w:eastAsia="仿宋_GB2312" w:cs="仿宋_GB2312"/>
                <w:b w:val="0"/>
                <w:bCs/>
                <w:sz w:val="24"/>
                <w:szCs w:val="24"/>
                <w:lang w:val="en-US" w:eastAsia="zh-CN"/>
              </w:rPr>
            </w:pPr>
            <w:r>
              <w:rPr>
                <w:rFonts w:hint="eastAsia" w:ascii="仿宋_GB2312" w:hAnsi="仿宋_GB2312" w:eastAsia="仿宋_GB2312" w:cs="仿宋_GB2312"/>
                <w:b w:val="0"/>
                <w:bCs/>
                <w:sz w:val="24"/>
                <w:szCs w:val="24"/>
                <w:lang w:val="en-US" w:eastAsia="zh-CN"/>
              </w:rPr>
              <w:t>≤0.08g/100g</w:t>
            </w:r>
          </w:p>
          <w:p w14:paraId="596DAB1F">
            <w:pPr>
              <w:jc w:val="center"/>
              <w:rPr>
                <w:rFonts w:hint="eastAsia" w:ascii="仿宋_GB2312" w:hAnsi="仿宋_GB2312" w:eastAsia="仿宋_GB2312" w:cs="仿宋_GB2312"/>
                <w:b w:val="0"/>
                <w:bCs/>
                <w:sz w:val="24"/>
                <w:szCs w:val="24"/>
                <w:lang w:val="en-US" w:eastAsia="zh-CN"/>
              </w:rPr>
            </w:pPr>
            <w:r>
              <w:rPr>
                <w:rFonts w:hint="eastAsia" w:ascii="仿宋_GB2312" w:hAnsi="仿宋_GB2312" w:eastAsia="仿宋_GB2312" w:cs="仿宋_GB2312"/>
                <w:b w:val="0"/>
                <w:bCs/>
                <w:sz w:val="24"/>
                <w:szCs w:val="24"/>
                <w:lang w:val="en-US" w:eastAsia="zh-CN"/>
              </w:rPr>
              <w:t>（或粮权单位要求）</w:t>
            </w:r>
          </w:p>
        </w:tc>
        <w:tc>
          <w:tcPr>
            <w:tcW w:w="2812" w:type="dxa"/>
            <w:vAlign w:val="center"/>
          </w:tcPr>
          <w:p w14:paraId="56907617">
            <w:pPr>
              <w:jc w:val="center"/>
              <w:rPr>
                <w:rFonts w:hint="eastAsia" w:ascii="仿宋_GB2312" w:hAnsi="仿宋_GB2312" w:eastAsia="仿宋_GB2312" w:cs="仿宋_GB2312"/>
                <w:b w:val="0"/>
                <w:bCs/>
                <w:kern w:val="2"/>
                <w:sz w:val="24"/>
                <w:szCs w:val="24"/>
                <w:lang w:val="en-US" w:eastAsia="zh-CN" w:bidi="ar-SA"/>
              </w:rPr>
            </w:pPr>
            <w:r>
              <w:rPr>
                <w:rFonts w:hint="eastAsia" w:ascii="仿宋_GB2312" w:hAnsi="仿宋_GB2312" w:eastAsia="仿宋_GB2312" w:cs="仿宋_GB2312"/>
                <w:b w:val="0"/>
                <w:bCs/>
                <w:sz w:val="24"/>
                <w:szCs w:val="24"/>
                <w:lang w:val="en-US" w:eastAsia="zh-CN"/>
              </w:rPr>
              <w:t>≤0.25g/100g</w:t>
            </w:r>
          </w:p>
        </w:tc>
      </w:tr>
      <w:tr w14:paraId="521B15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4" w:hRule="atLeast"/>
          <w:jc w:val="center"/>
        </w:trPr>
        <w:tc>
          <w:tcPr>
            <w:tcW w:w="621" w:type="dxa"/>
            <w:vMerge w:val="continue"/>
            <w:vAlign w:val="center"/>
          </w:tcPr>
          <w:p w14:paraId="5195FAD6">
            <w:pPr>
              <w:jc w:val="center"/>
              <w:rPr>
                <w:rFonts w:hint="eastAsia" w:ascii="仿宋_GB2312" w:hAnsi="仿宋_GB2312" w:eastAsia="仿宋_GB2312" w:cs="仿宋_GB2312"/>
                <w:b w:val="0"/>
                <w:bCs/>
                <w:sz w:val="24"/>
                <w:szCs w:val="24"/>
                <w:lang w:val="en-US" w:eastAsia="zh-CN"/>
              </w:rPr>
            </w:pPr>
          </w:p>
        </w:tc>
        <w:tc>
          <w:tcPr>
            <w:tcW w:w="588" w:type="dxa"/>
            <w:vMerge w:val="continue"/>
            <w:vAlign w:val="center"/>
          </w:tcPr>
          <w:p w14:paraId="3A175D54">
            <w:pPr>
              <w:jc w:val="center"/>
              <w:rPr>
                <w:rFonts w:hint="eastAsia" w:ascii="仿宋_GB2312" w:hAnsi="仿宋_GB2312" w:eastAsia="仿宋_GB2312" w:cs="仿宋_GB2312"/>
                <w:b w:val="0"/>
                <w:bCs/>
                <w:sz w:val="24"/>
                <w:szCs w:val="24"/>
                <w:lang w:val="en-US" w:eastAsia="zh-CN"/>
              </w:rPr>
            </w:pPr>
          </w:p>
        </w:tc>
        <w:tc>
          <w:tcPr>
            <w:tcW w:w="572" w:type="dxa"/>
            <w:vMerge w:val="continue"/>
            <w:vAlign w:val="center"/>
          </w:tcPr>
          <w:p w14:paraId="083B9FF6">
            <w:pPr>
              <w:jc w:val="center"/>
              <w:rPr>
                <w:rFonts w:hint="eastAsia" w:ascii="仿宋_GB2312" w:hAnsi="仿宋_GB2312" w:eastAsia="仿宋_GB2312" w:cs="仿宋_GB2312"/>
                <w:b w:val="0"/>
                <w:bCs/>
                <w:sz w:val="24"/>
                <w:szCs w:val="24"/>
                <w:lang w:val="en-US" w:eastAsia="zh-CN"/>
              </w:rPr>
            </w:pPr>
          </w:p>
        </w:tc>
        <w:tc>
          <w:tcPr>
            <w:tcW w:w="2292" w:type="dxa"/>
            <w:vAlign w:val="center"/>
          </w:tcPr>
          <w:p w14:paraId="688E16BA">
            <w:pPr>
              <w:jc w:val="center"/>
              <w:rPr>
                <w:rFonts w:hint="default" w:ascii="仿宋_GB2312" w:hAnsi="仿宋_GB2312" w:eastAsia="仿宋_GB2312" w:cs="仿宋_GB2312"/>
                <w:b w:val="0"/>
                <w:bCs/>
                <w:sz w:val="24"/>
                <w:szCs w:val="24"/>
                <w:lang w:val="en-US" w:eastAsia="zh-CN"/>
              </w:rPr>
            </w:pPr>
            <w:r>
              <w:rPr>
                <w:rFonts w:hint="eastAsia" w:ascii="仿宋_GB2312" w:hAnsi="仿宋_GB2312" w:eastAsia="仿宋_GB2312" w:cs="仿宋_GB2312"/>
                <w:b w:val="0"/>
                <w:bCs/>
                <w:sz w:val="24"/>
                <w:szCs w:val="24"/>
                <w:lang w:val="en-US" w:eastAsia="zh-CN"/>
              </w:rPr>
              <w:t>不溶性杂质含量</w:t>
            </w:r>
          </w:p>
        </w:tc>
        <w:tc>
          <w:tcPr>
            <w:tcW w:w="2812" w:type="dxa"/>
            <w:vAlign w:val="center"/>
          </w:tcPr>
          <w:p w14:paraId="716B6764">
            <w:pPr>
              <w:jc w:val="center"/>
              <w:rPr>
                <w:rFonts w:hint="default" w:ascii="仿宋_GB2312" w:hAnsi="仿宋_GB2312" w:eastAsia="仿宋_GB2312" w:cs="仿宋_GB2312"/>
                <w:b w:val="0"/>
                <w:bCs/>
                <w:sz w:val="24"/>
                <w:szCs w:val="24"/>
                <w:lang w:val="en-US" w:eastAsia="zh-CN"/>
              </w:rPr>
            </w:pPr>
            <w:r>
              <w:rPr>
                <w:rFonts w:hint="eastAsia" w:ascii="仿宋_GB2312" w:hAnsi="仿宋_GB2312" w:eastAsia="仿宋_GB2312" w:cs="仿宋_GB2312"/>
                <w:b w:val="0"/>
                <w:bCs/>
                <w:sz w:val="24"/>
                <w:szCs w:val="24"/>
                <w:lang w:val="en-US" w:eastAsia="zh-CN"/>
              </w:rPr>
              <w:t>≤0.05%</w:t>
            </w:r>
          </w:p>
        </w:tc>
        <w:tc>
          <w:tcPr>
            <w:tcW w:w="2812" w:type="dxa"/>
            <w:vAlign w:val="center"/>
          </w:tcPr>
          <w:p w14:paraId="36C86AF8">
            <w:pPr>
              <w:jc w:val="center"/>
              <w:rPr>
                <w:rFonts w:hint="eastAsia" w:ascii="仿宋_GB2312" w:hAnsi="仿宋_GB2312" w:eastAsia="仿宋_GB2312" w:cs="仿宋_GB2312"/>
                <w:b w:val="0"/>
                <w:bCs/>
                <w:kern w:val="2"/>
                <w:sz w:val="24"/>
                <w:szCs w:val="24"/>
                <w:lang w:val="en-US" w:eastAsia="zh-CN" w:bidi="ar-SA"/>
              </w:rPr>
            </w:pPr>
            <w:r>
              <w:rPr>
                <w:rFonts w:hint="eastAsia" w:ascii="仿宋_GB2312" w:hAnsi="仿宋_GB2312" w:eastAsia="仿宋_GB2312" w:cs="仿宋_GB2312"/>
                <w:b w:val="0"/>
                <w:bCs/>
                <w:sz w:val="24"/>
                <w:szCs w:val="24"/>
                <w:lang w:val="en-US" w:eastAsia="zh-CN"/>
              </w:rPr>
              <w:t>≤0.05%</w:t>
            </w:r>
          </w:p>
        </w:tc>
      </w:tr>
      <w:tr w14:paraId="170DE8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4" w:hRule="atLeast"/>
          <w:jc w:val="center"/>
        </w:trPr>
        <w:tc>
          <w:tcPr>
            <w:tcW w:w="621" w:type="dxa"/>
            <w:vMerge w:val="continue"/>
            <w:textDirection w:val="tbLrV"/>
            <w:vAlign w:val="center"/>
          </w:tcPr>
          <w:p w14:paraId="0C2AEFB3">
            <w:pPr>
              <w:jc w:val="center"/>
              <w:rPr>
                <w:rFonts w:hint="eastAsia" w:ascii="仿宋_GB2312" w:hAnsi="仿宋_GB2312" w:eastAsia="仿宋_GB2312" w:cs="仿宋_GB2312"/>
                <w:b w:val="0"/>
                <w:bCs/>
                <w:sz w:val="24"/>
                <w:szCs w:val="24"/>
                <w:lang w:val="en-US" w:eastAsia="zh-CN"/>
              </w:rPr>
            </w:pPr>
          </w:p>
        </w:tc>
        <w:tc>
          <w:tcPr>
            <w:tcW w:w="588" w:type="dxa"/>
            <w:vMerge w:val="continue"/>
            <w:textDirection w:val="tbLrV"/>
            <w:vAlign w:val="center"/>
          </w:tcPr>
          <w:p w14:paraId="1DFFEA8D">
            <w:pPr>
              <w:jc w:val="center"/>
              <w:rPr>
                <w:rFonts w:hint="eastAsia" w:ascii="仿宋_GB2312" w:hAnsi="仿宋_GB2312" w:eastAsia="仿宋_GB2312" w:cs="仿宋_GB2312"/>
                <w:b w:val="0"/>
                <w:bCs/>
                <w:sz w:val="24"/>
                <w:szCs w:val="24"/>
                <w:lang w:val="en-US" w:eastAsia="zh-CN"/>
              </w:rPr>
            </w:pPr>
          </w:p>
        </w:tc>
        <w:tc>
          <w:tcPr>
            <w:tcW w:w="572" w:type="dxa"/>
            <w:vMerge w:val="continue"/>
            <w:textDirection w:val="tbLrV"/>
            <w:vAlign w:val="center"/>
          </w:tcPr>
          <w:p w14:paraId="3E8A66D0">
            <w:pPr>
              <w:jc w:val="center"/>
              <w:rPr>
                <w:rFonts w:hint="eastAsia" w:ascii="仿宋_GB2312" w:hAnsi="仿宋_GB2312" w:eastAsia="仿宋_GB2312" w:cs="仿宋_GB2312"/>
                <w:b w:val="0"/>
                <w:bCs/>
                <w:sz w:val="24"/>
                <w:szCs w:val="24"/>
                <w:lang w:val="en-US" w:eastAsia="zh-CN"/>
              </w:rPr>
            </w:pPr>
          </w:p>
        </w:tc>
        <w:tc>
          <w:tcPr>
            <w:tcW w:w="2292" w:type="dxa"/>
            <w:vAlign w:val="center"/>
          </w:tcPr>
          <w:p w14:paraId="73FBE0D9">
            <w:pPr>
              <w:jc w:val="center"/>
              <w:rPr>
                <w:rFonts w:hint="eastAsia" w:ascii="仿宋_GB2312" w:hAnsi="仿宋_GB2312" w:eastAsia="仿宋_GB2312" w:cs="仿宋_GB2312"/>
                <w:b w:val="0"/>
                <w:bCs/>
                <w:sz w:val="24"/>
                <w:szCs w:val="24"/>
                <w:lang w:val="en-US" w:eastAsia="zh-CN"/>
              </w:rPr>
            </w:pPr>
            <w:r>
              <w:rPr>
                <w:rFonts w:hint="eastAsia" w:ascii="仿宋_GB2312" w:hAnsi="仿宋_GB2312" w:eastAsia="仿宋_GB2312" w:cs="仿宋_GB2312"/>
                <w:b w:val="0"/>
                <w:bCs/>
                <w:sz w:val="24"/>
                <w:szCs w:val="24"/>
                <w:lang w:val="en-US" w:eastAsia="zh-CN"/>
              </w:rPr>
              <w:t>含皂量</w:t>
            </w:r>
          </w:p>
        </w:tc>
        <w:tc>
          <w:tcPr>
            <w:tcW w:w="2812" w:type="dxa"/>
            <w:vAlign w:val="center"/>
          </w:tcPr>
          <w:p w14:paraId="0A22958C">
            <w:pPr>
              <w:jc w:val="center"/>
              <w:rPr>
                <w:rFonts w:hint="eastAsia" w:ascii="仿宋_GB2312" w:hAnsi="仿宋_GB2312" w:eastAsia="仿宋_GB2312" w:cs="仿宋_GB2312"/>
                <w:b w:val="0"/>
                <w:bCs/>
                <w:sz w:val="24"/>
                <w:szCs w:val="24"/>
                <w:lang w:val="en-US" w:eastAsia="zh-CN"/>
              </w:rPr>
            </w:pPr>
            <w:r>
              <w:rPr>
                <w:rFonts w:hint="eastAsia" w:ascii="仿宋_GB2312" w:hAnsi="仿宋_GB2312" w:eastAsia="仿宋_GB2312" w:cs="仿宋_GB2312"/>
                <w:b w:val="0"/>
                <w:bCs/>
                <w:sz w:val="24"/>
                <w:szCs w:val="24"/>
                <w:lang w:val="en-US" w:eastAsia="zh-CN"/>
              </w:rPr>
              <w:t>≤0.03%</w:t>
            </w:r>
          </w:p>
        </w:tc>
        <w:tc>
          <w:tcPr>
            <w:tcW w:w="2812" w:type="dxa"/>
            <w:vAlign w:val="center"/>
          </w:tcPr>
          <w:p w14:paraId="76BDADA5">
            <w:pPr>
              <w:jc w:val="center"/>
              <w:rPr>
                <w:rFonts w:hint="eastAsia" w:ascii="仿宋_GB2312" w:hAnsi="仿宋_GB2312" w:eastAsia="仿宋_GB2312" w:cs="仿宋_GB2312"/>
                <w:b w:val="0"/>
                <w:bCs/>
                <w:kern w:val="2"/>
                <w:sz w:val="24"/>
                <w:szCs w:val="24"/>
                <w:lang w:val="en-US" w:eastAsia="zh-CN" w:bidi="ar-SA"/>
              </w:rPr>
            </w:pPr>
            <w:r>
              <w:rPr>
                <w:rFonts w:hint="eastAsia" w:ascii="仿宋_GB2312" w:hAnsi="仿宋_GB2312" w:eastAsia="仿宋_GB2312" w:cs="仿宋_GB2312"/>
                <w:b w:val="0"/>
                <w:bCs/>
                <w:sz w:val="24"/>
                <w:szCs w:val="24"/>
                <w:lang w:val="en-US" w:eastAsia="zh-CN"/>
              </w:rPr>
              <w:t>≤0.03%</w:t>
            </w:r>
          </w:p>
        </w:tc>
      </w:tr>
      <w:tr w14:paraId="7FC0E3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4" w:hRule="atLeast"/>
          <w:jc w:val="center"/>
        </w:trPr>
        <w:tc>
          <w:tcPr>
            <w:tcW w:w="621" w:type="dxa"/>
            <w:vMerge w:val="continue"/>
            <w:textDirection w:val="tbLrV"/>
            <w:vAlign w:val="center"/>
          </w:tcPr>
          <w:p w14:paraId="7C539648">
            <w:pPr>
              <w:jc w:val="center"/>
              <w:rPr>
                <w:rFonts w:hint="eastAsia" w:ascii="仿宋_GB2312" w:hAnsi="仿宋_GB2312" w:eastAsia="仿宋_GB2312" w:cs="仿宋_GB2312"/>
                <w:b w:val="0"/>
                <w:bCs/>
                <w:sz w:val="24"/>
                <w:szCs w:val="24"/>
                <w:lang w:val="en-US" w:eastAsia="zh-CN"/>
              </w:rPr>
            </w:pPr>
          </w:p>
        </w:tc>
        <w:tc>
          <w:tcPr>
            <w:tcW w:w="588" w:type="dxa"/>
            <w:vMerge w:val="continue"/>
            <w:textDirection w:val="tbLrV"/>
            <w:vAlign w:val="center"/>
          </w:tcPr>
          <w:p w14:paraId="57C99D2D">
            <w:pPr>
              <w:jc w:val="center"/>
              <w:rPr>
                <w:rFonts w:hint="eastAsia" w:ascii="仿宋_GB2312" w:hAnsi="仿宋_GB2312" w:eastAsia="仿宋_GB2312" w:cs="仿宋_GB2312"/>
                <w:b w:val="0"/>
                <w:bCs/>
                <w:sz w:val="24"/>
                <w:szCs w:val="24"/>
                <w:lang w:val="en-US" w:eastAsia="zh-CN"/>
              </w:rPr>
            </w:pPr>
          </w:p>
        </w:tc>
        <w:tc>
          <w:tcPr>
            <w:tcW w:w="572" w:type="dxa"/>
            <w:vMerge w:val="continue"/>
            <w:textDirection w:val="tbLrV"/>
            <w:vAlign w:val="center"/>
          </w:tcPr>
          <w:p w14:paraId="60316DEA">
            <w:pPr>
              <w:jc w:val="center"/>
              <w:rPr>
                <w:rFonts w:hint="eastAsia" w:ascii="仿宋_GB2312" w:hAnsi="仿宋_GB2312" w:eastAsia="仿宋_GB2312" w:cs="仿宋_GB2312"/>
                <w:b w:val="0"/>
                <w:bCs/>
                <w:sz w:val="24"/>
                <w:szCs w:val="24"/>
                <w:lang w:val="en-US" w:eastAsia="zh-CN"/>
              </w:rPr>
            </w:pPr>
          </w:p>
        </w:tc>
        <w:tc>
          <w:tcPr>
            <w:tcW w:w="2292" w:type="dxa"/>
            <w:vAlign w:val="center"/>
          </w:tcPr>
          <w:p w14:paraId="68C4A229">
            <w:pPr>
              <w:jc w:val="center"/>
              <w:rPr>
                <w:rFonts w:hint="eastAsia" w:ascii="仿宋_GB2312" w:hAnsi="仿宋_GB2312" w:eastAsia="仿宋_GB2312" w:cs="仿宋_GB2312"/>
                <w:b w:val="0"/>
                <w:bCs/>
                <w:sz w:val="24"/>
                <w:szCs w:val="24"/>
                <w:lang w:val="en-US" w:eastAsia="zh-CN"/>
              </w:rPr>
            </w:pPr>
            <w:r>
              <w:rPr>
                <w:rFonts w:hint="eastAsia" w:ascii="仿宋_GB2312" w:hAnsi="仿宋_GB2312" w:eastAsia="仿宋_GB2312" w:cs="仿宋_GB2312"/>
                <w:b w:val="0"/>
                <w:bCs/>
                <w:sz w:val="24"/>
                <w:szCs w:val="24"/>
                <w:lang w:val="en-US" w:eastAsia="zh-CN"/>
              </w:rPr>
              <w:t>溶剂残留量</w:t>
            </w:r>
          </w:p>
        </w:tc>
        <w:tc>
          <w:tcPr>
            <w:tcW w:w="2812" w:type="dxa"/>
            <w:vAlign w:val="center"/>
          </w:tcPr>
          <w:p w14:paraId="2679E5EB">
            <w:pPr>
              <w:jc w:val="center"/>
              <w:rPr>
                <w:rFonts w:hint="eastAsia" w:ascii="仿宋_GB2312" w:hAnsi="仿宋_GB2312" w:eastAsia="仿宋_GB2312" w:cs="仿宋_GB2312"/>
                <w:b w:val="0"/>
                <w:bCs/>
                <w:sz w:val="24"/>
                <w:szCs w:val="24"/>
                <w:lang w:val="en-US" w:eastAsia="zh-CN"/>
              </w:rPr>
            </w:pPr>
            <w:r>
              <w:rPr>
                <w:rFonts w:hint="eastAsia" w:ascii="仿宋_GB2312" w:hAnsi="仿宋_GB2312" w:eastAsia="仿宋_GB2312" w:cs="仿宋_GB2312"/>
                <w:b w:val="0"/>
                <w:bCs/>
                <w:sz w:val="24"/>
                <w:szCs w:val="24"/>
                <w:lang w:val="en-US" w:eastAsia="zh-CN"/>
              </w:rPr>
              <w:t>≤20mg/kg</w:t>
            </w:r>
          </w:p>
        </w:tc>
        <w:tc>
          <w:tcPr>
            <w:tcW w:w="2812" w:type="dxa"/>
            <w:vAlign w:val="center"/>
          </w:tcPr>
          <w:p w14:paraId="7C7A06E8">
            <w:pPr>
              <w:jc w:val="center"/>
              <w:rPr>
                <w:rFonts w:hint="eastAsia" w:ascii="仿宋_GB2312" w:hAnsi="仿宋_GB2312" w:eastAsia="仿宋_GB2312" w:cs="仿宋_GB2312"/>
                <w:b w:val="0"/>
                <w:bCs/>
                <w:kern w:val="2"/>
                <w:sz w:val="24"/>
                <w:szCs w:val="24"/>
                <w:lang w:val="en-US" w:eastAsia="zh-CN" w:bidi="ar-SA"/>
              </w:rPr>
            </w:pPr>
            <w:r>
              <w:rPr>
                <w:rFonts w:hint="eastAsia" w:ascii="仿宋_GB2312" w:hAnsi="仿宋_GB2312" w:eastAsia="仿宋_GB2312" w:cs="仿宋_GB2312"/>
                <w:b w:val="0"/>
                <w:bCs/>
                <w:sz w:val="24"/>
                <w:szCs w:val="24"/>
                <w:lang w:val="en-US" w:eastAsia="zh-CN"/>
              </w:rPr>
              <w:t>≤20mg/kg</w:t>
            </w:r>
          </w:p>
        </w:tc>
      </w:tr>
      <w:tr w14:paraId="2C4D71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4" w:hRule="atLeast"/>
          <w:jc w:val="center"/>
        </w:trPr>
        <w:tc>
          <w:tcPr>
            <w:tcW w:w="621" w:type="dxa"/>
            <w:vMerge w:val="continue"/>
            <w:textDirection w:val="tbLrV"/>
            <w:vAlign w:val="center"/>
          </w:tcPr>
          <w:p w14:paraId="2ED8D8D7">
            <w:pPr>
              <w:jc w:val="center"/>
              <w:rPr>
                <w:rFonts w:hint="eastAsia" w:ascii="仿宋_GB2312" w:hAnsi="仿宋_GB2312" w:eastAsia="仿宋_GB2312" w:cs="仿宋_GB2312"/>
                <w:b w:val="0"/>
                <w:bCs/>
                <w:sz w:val="24"/>
                <w:szCs w:val="24"/>
                <w:lang w:val="en-US" w:eastAsia="zh-CN"/>
              </w:rPr>
            </w:pPr>
          </w:p>
        </w:tc>
        <w:tc>
          <w:tcPr>
            <w:tcW w:w="588" w:type="dxa"/>
            <w:vMerge w:val="continue"/>
            <w:textDirection w:val="tbLrV"/>
            <w:vAlign w:val="center"/>
          </w:tcPr>
          <w:p w14:paraId="5F4E6D6B">
            <w:pPr>
              <w:jc w:val="center"/>
              <w:rPr>
                <w:rFonts w:hint="eastAsia" w:ascii="仿宋_GB2312" w:hAnsi="仿宋_GB2312" w:eastAsia="仿宋_GB2312" w:cs="仿宋_GB2312"/>
                <w:b w:val="0"/>
                <w:bCs/>
                <w:sz w:val="24"/>
                <w:szCs w:val="24"/>
                <w:lang w:val="en-US" w:eastAsia="zh-CN"/>
              </w:rPr>
            </w:pPr>
          </w:p>
        </w:tc>
        <w:tc>
          <w:tcPr>
            <w:tcW w:w="572" w:type="dxa"/>
            <w:vMerge w:val="restart"/>
            <w:textDirection w:val="tbLrV"/>
            <w:vAlign w:val="center"/>
          </w:tcPr>
          <w:p w14:paraId="1E0C1EEF">
            <w:pPr>
              <w:jc w:val="center"/>
              <w:rPr>
                <w:rFonts w:hint="default" w:ascii="仿宋_GB2312" w:hAnsi="仿宋_GB2312" w:eastAsia="仿宋_GB2312" w:cs="仿宋_GB2312"/>
                <w:b w:val="0"/>
                <w:bCs/>
                <w:sz w:val="24"/>
                <w:szCs w:val="24"/>
                <w:lang w:val="en-US" w:eastAsia="zh-CN"/>
              </w:rPr>
            </w:pPr>
            <w:r>
              <w:rPr>
                <w:rFonts w:hint="eastAsia" w:ascii="仿宋_GB2312" w:hAnsi="仿宋_GB2312" w:eastAsia="仿宋_GB2312" w:cs="仿宋_GB2312"/>
                <w:b w:val="0"/>
                <w:bCs/>
                <w:sz w:val="24"/>
                <w:szCs w:val="24"/>
                <w:lang w:val="en-US" w:eastAsia="zh-CN"/>
              </w:rPr>
              <w:t>食品安全指标</w:t>
            </w:r>
          </w:p>
        </w:tc>
        <w:tc>
          <w:tcPr>
            <w:tcW w:w="2292" w:type="dxa"/>
            <w:vAlign w:val="center"/>
          </w:tcPr>
          <w:p w14:paraId="40F68789">
            <w:pPr>
              <w:jc w:val="center"/>
              <w:rPr>
                <w:rFonts w:hint="default" w:ascii="仿宋_GB2312" w:hAnsi="仿宋_GB2312" w:eastAsia="仿宋_GB2312" w:cs="仿宋_GB2312"/>
                <w:b w:val="0"/>
                <w:bCs/>
                <w:sz w:val="24"/>
                <w:szCs w:val="24"/>
                <w:lang w:val="en-US" w:eastAsia="zh-CN"/>
              </w:rPr>
            </w:pPr>
            <w:r>
              <w:rPr>
                <w:rFonts w:hint="eastAsia" w:ascii="仿宋_GB2312" w:hAnsi="仿宋_GB2312" w:eastAsia="仿宋_GB2312" w:cs="仿宋_GB2312"/>
                <w:b w:val="0"/>
                <w:bCs/>
                <w:sz w:val="24"/>
                <w:szCs w:val="24"/>
                <w:lang w:val="en-US" w:eastAsia="zh-CN"/>
              </w:rPr>
              <w:t>黄曲霉毒素B1</w:t>
            </w:r>
          </w:p>
        </w:tc>
        <w:tc>
          <w:tcPr>
            <w:tcW w:w="2812" w:type="dxa"/>
            <w:vAlign w:val="center"/>
          </w:tcPr>
          <w:p w14:paraId="5E19CF93">
            <w:pPr>
              <w:jc w:val="center"/>
              <w:rPr>
                <w:rFonts w:hint="eastAsia" w:ascii="仿宋_GB2312" w:hAnsi="仿宋_GB2312" w:eastAsia="仿宋_GB2312" w:cs="仿宋_GB2312"/>
                <w:b w:val="0"/>
                <w:bCs/>
                <w:sz w:val="24"/>
                <w:szCs w:val="24"/>
                <w:lang w:val="en-US" w:eastAsia="zh-CN"/>
              </w:rPr>
            </w:pPr>
            <w:r>
              <w:rPr>
                <w:rFonts w:hint="eastAsia" w:ascii="仿宋_GB2312" w:hAnsi="仿宋_GB2312" w:eastAsia="仿宋_GB2312" w:cs="仿宋_GB2312"/>
                <w:b w:val="0"/>
                <w:bCs/>
                <w:sz w:val="24"/>
                <w:szCs w:val="24"/>
                <w:lang w:val="en-US" w:eastAsia="zh-CN"/>
              </w:rPr>
              <w:t>≤8㎍/kg</w:t>
            </w:r>
          </w:p>
        </w:tc>
        <w:tc>
          <w:tcPr>
            <w:tcW w:w="2812" w:type="dxa"/>
            <w:vAlign w:val="center"/>
          </w:tcPr>
          <w:p w14:paraId="598E9D02">
            <w:pPr>
              <w:jc w:val="center"/>
              <w:rPr>
                <w:rFonts w:hint="eastAsia" w:ascii="仿宋_GB2312" w:hAnsi="仿宋_GB2312" w:eastAsia="仿宋_GB2312" w:cs="仿宋_GB2312"/>
                <w:b w:val="0"/>
                <w:bCs/>
                <w:kern w:val="2"/>
                <w:sz w:val="24"/>
                <w:szCs w:val="24"/>
                <w:lang w:val="en-US" w:eastAsia="zh-CN" w:bidi="ar-SA"/>
              </w:rPr>
            </w:pPr>
            <w:r>
              <w:rPr>
                <w:rFonts w:hint="eastAsia" w:ascii="仿宋_GB2312" w:hAnsi="仿宋_GB2312" w:eastAsia="仿宋_GB2312" w:cs="仿宋_GB2312"/>
                <w:b w:val="0"/>
                <w:bCs/>
                <w:sz w:val="24"/>
                <w:szCs w:val="24"/>
                <w:lang w:val="en-US" w:eastAsia="zh-CN"/>
              </w:rPr>
              <w:t>≤10㎍/kg</w:t>
            </w:r>
          </w:p>
        </w:tc>
      </w:tr>
      <w:tr w14:paraId="2A33F8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4" w:hRule="atLeast"/>
          <w:jc w:val="center"/>
        </w:trPr>
        <w:tc>
          <w:tcPr>
            <w:tcW w:w="621" w:type="dxa"/>
            <w:vMerge w:val="continue"/>
            <w:vAlign w:val="center"/>
          </w:tcPr>
          <w:p w14:paraId="28CAA1B9">
            <w:pPr>
              <w:jc w:val="center"/>
              <w:rPr>
                <w:rFonts w:hint="eastAsia" w:ascii="仿宋_GB2312" w:hAnsi="仿宋_GB2312" w:eastAsia="仿宋_GB2312" w:cs="仿宋_GB2312"/>
                <w:b w:val="0"/>
                <w:bCs/>
                <w:sz w:val="24"/>
                <w:szCs w:val="24"/>
                <w:lang w:val="en-US" w:eastAsia="zh-CN"/>
              </w:rPr>
            </w:pPr>
          </w:p>
        </w:tc>
        <w:tc>
          <w:tcPr>
            <w:tcW w:w="588" w:type="dxa"/>
            <w:vMerge w:val="continue"/>
            <w:vAlign w:val="center"/>
          </w:tcPr>
          <w:p w14:paraId="459B44FE">
            <w:pPr>
              <w:jc w:val="center"/>
              <w:rPr>
                <w:rFonts w:hint="eastAsia" w:ascii="仿宋_GB2312" w:hAnsi="仿宋_GB2312" w:eastAsia="仿宋_GB2312" w:cs="仿宋_GB2312"/>
                <w:b w:val="0"/>
                <w:bCs/>
                <w:sz w:val="24"/>
                <w:szCs w:val="24"/>
                <w:lang w:val="en-US" w:eastAsia="zh-CN"/>
              </w:rPr>
            </w:pPr>
          </w:p>
        </w:tc>
        <w:tc>
          <w:tcPr>
            <w:tcW w:w="572" w:type="dxa"/>
            <w:vMerge w:val="continue"/>
            <w:vAlign w:val="center"/>
          </w:tcPr>
          <w:p w14:paraId="6E7B544C">
            <w:pPr>
              <w:jc w:val="center"/>
              <w:rPr>
                <w:rFonts w:hint="eastAsia" w:ascii="仿宋_GB2312" w:hAnsi="仿宋_GB2312" w:eastAsia="仿宋_GB2312" w:cs="仿宋_GB2312"/>
                <w:b w:val="0"/>
                <w:bCs/>
                <w:sz w:val="24"/>
                <w:szCs w:val="24"/>
                <w:lang w:val="en-US" w:eastAsia="zh-CN"/>
              </w:rPr>
            </w:pPr>
          </w:p>
        </w:tc>
        <w:tc>
          <w:tcPr>
            <w:tcW w:w="2292" w:type="dxa"/>
            <w:vAlign w:val="center"/>
          </w:tcPr>
          <w:p w14:paraId="68DB7C27">
            <w:pPr>
              <w:jc w:val="center"/>
              <w:rPr>
                <w:rFonts w:hint="eastAsia" w:ascii="仿宋_GB2312" w:hAnsi="仿宋_GB2312" w:eastAsia="仿宋_GB2312" w:cs="仿宋_GB2312"/>
                <w:b w:val="0"/>
                <w:bCs/>
                <w:kern w:val="2"/>
                <w:sz w:val="24"/>
                <w:szCs w:val="24"/>
                <w:lang w:val="en-US" w:eastAsia="zh-CN" w:bidi="ar-SA"/>
              </w:rPr>
            </w:pPr>
            <w:r>
              <w:rPr>
                <w:rFonts w:hint="eastAsia" w:ascii="仿宋_GB2312" w:hAnsi="仿宋_GB2312" w:eastAsia="仿宋_GB2312" w:cs="仿宋_GB2312"/>
                <w:b w:val="0"/>
                <w:bCs/>
                <w:sz w:val="24"/>
                <w:szCs w:val="24"/>
                <w:lang w:val="en-US" w:eastAsia="zh-CN"/>
              </w:rPr>
              <w:t>苯并[a]芘</w:t>
            </w:r>
          </w:p>
        </w:tc>
        <w:tc>
          <w:tcPr>
            <w:tcW w:w="2812" w:type="dxa"/>
            <w:vAlign w:val="center"/>
          </w:tcPr>
          <w:p w14:paraId="6125A832">
            <w:pPr>
              <w:jc w:val="center"/>
              <w:rPr>
                <w:rFonts w:hint="eastAsia" w:ascii="仿宋_GB2312" w:hAnsi="仿宋_GB2312" w:eastAsia="仿宋_GB2312" w:cs="仿宋_GB2312"/>
                <w:b w:val="0"/>
                <w:bCs/>
                <w:kern w:val="2"/>
                <w:sz w:val="24"/>
                <w:szCs w:val="24"/>
                <w:lang w:val="en-US" w:eastAsia="zh-CN" w:bidi="ar-SA"/>
              </w:rPr>
            </w:pPr>
            <w:r>
              <w:rPr>
                <w:rFonts w:hint="eastAsia" w:ascii="仿宋_GB2312" w:hAnsi="仿宋_GB2312" w:eastAsia="仿宋_GB2312" w:cs="仿宋_GB2312"/>
                <w:b w:val="0"/>
                <w:bCs/>
                <w:sz w:val="24"/>
                <w:szCs w:val="24"/>
                <w:lang w:val="en-US" w:eastAsia="zh-CN"/>
              </w:rPr>
              <w:t>≤10㎍/kg</w:t>
            </w:r>
          </w:p>
        </w:tc>
        <w:tc>
          <w:tcPr>
            <w:tcW w:w="2812" w:type="dxa"/>
            <w:vAlign w:val="center"/>
          </w:tcPr>
          <w:p w14:paraId="5FF40B1D">
            <w:pPr>
              <w:jc w:val="center"/>
              <w:rPr>
                <w:rFonts w:hint="eastAsia" w:ascii="仿宋_GB2312" w:hAnsi="仿宋_GB2312" w:eastAsia="仿宋_GB2312" w:cs="仿宋_GB2312"/>
                <w:b w:val="0"/>
                <w:bCs/>
                <w:kern w:val="2"/>
                <w:sz w:val="24"/>
                <w:szCs w:val="24"/>
                <w:lang w:val="en-US" w:eastAsia="zh-CN" w:bidi="ar-SA"/>
              </w:rPr>
            </w:pPr>
            <w:r>
              <w:rPr>
                <w:rFonts w:hint="eastAsia" w:ascii="仿宋_GB2312" w:hAnsi="仿宋_GB2312" w:eastAsia="仿宋_GB2312" w:cs="仿宋_GB2312"/>
                <w:b w:val="0"/>
                <w:bCs/>
                <w:sz w:val="24"/>
                <w:szCs w:val="24"/>
                <w:lang w:val="en-US" w:eastAsia="zh-CN"/>
              </w:rPr>
              <w:t>≤10㎍/kg</w:t>
            </w:r>
          </w:p>
        </w:tc>
      </w:tr>
      <w:tr w14:paraId="3189FC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4" w:hRule="atLeast"/>
          <w:jc w:val="center"/>
        </w:trPr>
        <w:tc>
          <w:tcPr>
            <w:tcW w:w="621" w:type="dxa"/>
            <w:vMerge w:val="continue"/>
            <w:vAlign w:val="center"/>
          </w:tcPr>
          <w:p w14:paraId="338272A8">
            <w:pPr>
              <w:jc w:val="center"/>
              <w:rPr>
                <w:rFonts w:hint="eastAsia" w:ascii="仿宋_GB2312" w:hAnsi="仿宋_GB2312" w:eastAsia="仿宋_GB2312" w:cs="仿宋_GB2312"/>
                <w:b w:val="0"/>
                <w:bCs/>
                <w:sz w:val="24"/>
                <w:szCs w:val="24"/>
                <w:lang w:val="en-US" w:eastAsia="zh-CN"/>
              </w:rPr>
            </w:pPr>
          </w:p>
        </w:tc>
        <w:tc>
          <w:tcPr>
            <w:tcW w:w="588" w:type="dxa"/>
            <w:vMerge w:val="continue"/>
            <w:vAlign w:val="center"/>
          </w:tcPr>
          <w:p w14:paraId="087FAD86">
            <w:pPr>
              <w:jc w:val="center"/>
              <w:rPr>
                <w:rFonts w:hint="eastAsia" w:ascii="仿宋_GB2312" w:hAnsi="仿宋_GB2312" w:eastAsia="仿宋_GB2312" w:cs="仿宋_GB2312"/>
                <w:b w:val="0"/>
                <w:bCs/>
                <w:sz w:val="24"/>
                <w:szCs w:val="24"/>
                <w:lang w:val="en-US" w:eastAsia="zh-CN"/>
              </w:rPr>
            </w:pPr>
          </w:p>
        </w:tc>
        <w:tc>
          <w:tcPr>
            <w:tcW w:w="572" w:type="dxa"/>
            <w:vMerge w:val="continue"/>
            <w:vAlign w:val="center"/>
          </w:tcPr>
          <w:p w14:paraId="3198E3B8">
            <w:pPr>
              <w:jc w:val="center"/>
              <w:rPr>
                <w:rFonts w:hint="eastAsia" w:ascii="仿宋_GB2312" w:hAnsi="仿宋_GB2312" w:eastAsia="仿宋_GB2312" w:cs="仿宋_GB2312"/>
                <w:b w:val="0"/>
                <w:bCs/>
                <w:sz w:val="24"/>
                <w:szCs w:val="24"/>
                <w:lang w:val="en-US" w:eastAsia="zh-CN"/>
              </w:rPr>
            </w:pPr>
          </w:p>
        </w:tc>
        <w:tc>
          <w:tcPr>
            <w:tcW w:w="2292" w:type="dxa"/>
            <w:vAlign w:val="center"/>
          </w:tcPr>
          <w:p w14:paraId="779922E9">
            <w:pPr>
              <w:jc w:val="center"/>
              <w:rPr>
                <w:rFonts w:hint="default" w:ascii="仿宋_GB2312" w:hAnsi="仿宋_GB2312" w:eastAsia="仿宋_GB2312" w:cs="仿宋_GB2312"/>
                <w:b w:val="0"/>
                <w:bCs/>
                <w:kern w:val="2"/>
                <w:sz w:val="24"/>
                <w:szCs w:val="24"/>
                <w:lang w:val="en-US" w:eastAsia="zh-CN" w:bidi="ar-SA"/>
              </w:rPr>
            </w:pPr>
            <w:r>
              <w:rPr>
                <w:rFonts w:hint="eastAsia" w:ascii="仿宋_GB2312" w:hAnsi="仿宋_GB2312" w:eastAsia="仿宋_GB2312" w:cs="仿宋_GB2312"/>
                <w:b w:val="0"/>
                <w:bCs/>
                <w:sz w:val="24"/>
                <w:szCs w:val="24"/>
                <w:lang w:val="en-US" w:eastAsia="zh-CN"/>
              </w:rPr>
              <w:t>铅（Pb）</w:t>
            </w:r>
          </w:p>
        </w:tc>
        <w:tc>
          <w:tcPr>
            <w:tcW w:w="2812" w:type="dxa"/>
            <w:vAlign w:val="center"/>
          </w:tcPr>
          <w:p w14:paraId="6A9030CD">
            <w:pPr>
              <w:jc w:val="center"/>
              <w:rPr>
                <w:rFonts w:hint="eastAsia" w:ascii="仿宋_GB2312" w:hAnsi="仿宋_GB2312" w:eastAsia="仿宋_GB2312" w:cs="仿宋_GB2312"/>
                <w:b w:val="0"/>
                <w:bCs/>
                <w:kern w:val="2"/>
                <w:sz w:val="24"/>
                <w:szCs w:val="24"/>
                <w:lang w:val="en-US" w:eastAsia="zh-CN" w:bidi="ar-SA"/>
              </w:rPr>
            </w:pPr>
            <w:r>
              <w:rPr>
                <w:rFonts w:hint="eastAsia" w:ascii="仿宋_GB2312" w:hAnsi="仿宋_GB2312" w:eastAsia="仿宋_GB2312" w:cs="仿宋_GB2312"/>
                <w:b w:val="0"/>
                <w:bCs/>
                <w:sz w:val="24"/>
                <w:szCs w:val="24"/>
                <w:lang w:val="en-US" w:eastAsia="zh-CN"/>
              </w:rPr>
              <w:t>≤0.08mg/kg</w:t>
            </w:r>
          </w:p>
        </w:tc>
        <w:tc>
          <w:tcPr>
            <w:tcW w:w="2812" w:type="dxa"/>
            <w:vAlign w:val="center"/>
          </w:tcPr>
          <w:p w14:paraId="1B92FEF3">
            <w:pPr>
              <w:jc w:val="center"/>
              <w:rPr>
                <w:rFonts w:hint="eastAsia" w:ascii="仿宋_GB2312" w:hAnsi="仿宋_GB2312" w:eastAsia="仿宋_GB2312" w:cs="仿宋_GB2312"/>
                <w:b w:val="0"/>
                <w:bCs/>
                <w:kern w:val="2"/>
                <w:sz w:val="24"/>
                <w:szCs w:val="24"/>
                <w:lang w:val="en-US" w:eastAsia="zh-CN" w:bidi="ar-SA"/>
              </w:rPr>
            </w:pPr>
            <w:r>
              <w:rPr>
                <w:rFonts w:hint="eastAsia" w:ascii="仿宋_GB2312" w:hAnsi="仿宋_GB2312" w:eastAsia="仿宋_GB2312" w:cs="仿宋_GB2312"/>
                <w:b w:val="0"/>
                <w:bCs/>
                <w:sz w:val="24"/>
                <w:szCs w:val="24"/>
                <w:lang w:val="en-US" w:eastAsia="zh-CN"/>
              </w:rPr>
              <w:t>≤0.08mg/kg</w:t>
            </w:r>
          </w:p>
        </w:tc>
      </w:tr>
      <w:tr w14:paraId="76E8AD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4" w:hRule="atLeast"/>
          <w:jc w:val="center"/>
        </w:trPr>
        <w:tc>
          <w:tcPr>
            <w:tcW w:w="621" w:type="dxa"/>
            <w:vMerge w:val="continue"/>
            <w:vAlign w:val="center"/>
          </w:tcPr>
          <w:p w14:paraId="7FAA46C7">
            <w:pPr>
              <w:jc w:val="center"/>
              <w:rPr>
                <w:rFonts w:hint="eastAsia" w:ascii="仿宋_GB2312" w:hAnsi="仿宋_GB2312" w:eastAsia="仿宋_GB2312" w:cs="仿宋_GB2312"/>
                <w:b w:val="0"/>
                <w:bCs/>
                <w:sz w:val="24"/>
                <w:szCs w:val="24"/>
                <w:lang w:val="en-US" w:eastAsia="zh-CN"/>
              </w:rPr>
            </w:pPr>
          </w:p>
        </w:tc>
        <w:tc>
          <w:tcPr>
            <w:tcW w:w="588" w:type="dxa"/>
            <w:vMerge w:val="continue"/>
            <w:vAlign w:val="center"/>
          </w:tcPr>
          <w:p w14:paraId="350C328F">
            <w:pPr>
              <w:jc w:val="center"/>
              <w:rPr>
                <w:rFonts w:hint="eastAsia" w:ascii="仿宋_GB2312" w:hAnsi="仿宋_GB2312" w:eastAsia="仿宋_GB2312" w:cs="仿宋_GB2312"/>
                <w:b w:val="0"/>
                <w:bCs/>
                <w:sz w:val="24"/>
                <w:szCs w:val="24"/>
                <w:lang w:val="en-US" w:eastAsia="zh-CN"/>
              </w:rPr>
            </w:pPr>
          </w:p>
        </w:tc>
        <w:tc>
          <w:tcPr>
            <w:tcW w:w="572" w:type="dxa"/>
            <w:vMerge w:val="continue"/>
            <w:vAlign w:val="center"/>
          </w:tcPr>
          <w:p w14:paraId="722030AC">
            <w:pPr>
              <w:jc w:val="center"/>
              <w:rPr>
                <w:rFonts w:hint="eastAsia" w:ascii="仿宋_GB2312" w:hAnsi="仿宋_GB2312" w:eastAsia="仿宋_GB2312" w:cs="仿宋_GB2312"/>
                <w:b w:val="0"/>
                <w:bCs/>
                <w:sz w:val="24"/>
                <w:szCs w:val="24"/>
                <w:lang w:val="en-US" w:eastAsia="zh-CN"/>
              </w:rPr>
            </w:pPr>
          </w:p>
        </w:tc>
        <w:tc>
          <w:tcPr>
            <w:tcW w:w="2292" w:type="dxa"/>
            <w:vAlign w:val="center"/>
          </w:tcPr>
          <w:p w14:paraId="5684B400">
            <w:pPr>
              <w:jc w:val="center"/>
              <w:rPr>
                <w:rFonts w:hint="default" w:ascii="仿宋_GB2312" w:hAnsi="仿宋_GB2312" w:eastAsia="仿宋_GB2312" w:cs="仿宋_GB2312"/>
                <w:b w:val="0"/>
                <w:bCs/>
                <w:sz w:val="24"/>
                <w:szCs w:val="24"/>
                <w:lang w:val="en-US" w:eastAsia="zh-CN"/>
              </w:rPr>
            </w:pPr>
            <w:r>
              <w:rPr>
                <w:rFonts w:hint="eastAsia" w:ascii="仿宋_GB2312" w:hAnsi="仿宋_GB2312" w:eastAsia="仿宋_GB2312" w:cs="仿宋_GB2312"/>
                <w:b w:val="0"/>
                <w:bCs/>
                <w:sz w:val="24"/>
                <w:szCs w:val="24"/>
                <w:lang w:val="en-US" w:eastAsia="zh-CN"/>
              </w:rPr>
              <w:t>总砷（As）</w:t>
            </w:r>
          </w:p>
        </w:tc>
        <w:tc>
          <w:tcPr>
            <w:tcW w:w="2812" w:type="dxa"/>
            <w:vAlign w:val="center"/>
          </w:tcPr>
          <w:p w14:paraId="0201F500">
            <w:pPr>
              <w:jc w:val="center"/>
              <w:rPr>
                <w:rFonts w:hint="eastAsia" w:ascii="仿宋_GB2312" w:hAnsi="仿宋_GB2312" w:eastAsia="仿宋_GB2312" w:cs="仿宋_GB2312"/>
                <w:b w:val="0"/>
                <w:bCs/>
                <w:sz w:val="24"/>
                <w:szCs w:val="24"/>
                <w:lang w:val="en-US" w:eastAsia="zh-CN"/>
              </w:rPr>
            </w:pPr>
            <w:r>
              <w:rPr>
                <w:rFonts w:hint="eastAsia" w:ascii="仿宋_GB2312" w:hAnsi="仿宋_GB2312" w:eastAsia="仿宋_GB2312" w:cs="仿宋_GB2312"/>
                <w:b w:val="0"/>
                <w:bCs/>
                <w:sz w:val="24"/>
                <w:szCs w:val="24"/>
                <w:lang w:val="en-US" w:eastAsia="zh-CN"/>
              </w:rPr>
              <w:t>≤0.1mg/kg</w:t>
            </w:r>
          </w:p>
        </w:tc>
        <w:tc>
          <w:tcPr>
            <w:tcW w:w="2812" w:type="dxa"/>
            <w:vAlign w:val="center"/>
          </w:tcPr>
          <w:p w14:paraId="3B43E0F8">
            <w:pPr>
              <w:jc w:val="center"/>
              <w:rPr>
                <w:rFonts w:hint="eastAsia" w:ascii="仿宋_GB2312" w:hAnsi="仿宋_GB2312" w:eastAsia="仿宋_GB2312" w:cs="仿宋_GB2312"/>
                <w:b w:val="0"/>
                <w:bCs/>
                <w:sz w:val="24"/>
                <w:szCs w:val="24"/>
                <w:lang w:val="en-US" w:eastAsia="zh-CN"/>
              </w:rPr>
            </w:pPr>
            <w:r>
              <w:rPr>
                <w:rFonts w:hint="eastAsia" w:ascii="仿宋_GB2312" w:hAnsi="仿宋_GB2312" w:eastAsia="仿宋_GB2312" w:cs="仿宋_GB2312"/>
                <w:b w:val="0"/>
                <w:bCs/>
                <w:sz w:val="24"/>
                <w:szCs w:val="24"/>
                <w:lang w:val="en-US" w:eastAsia="zh-CN"/>
              </w:rPr>
              <w:t>≤0.1mg/kg</w:t>
            </w:r>
          </w:p>
        </w:tc>
      </w:tr>
    </w:tbl>
    <w:p w14:paraId="36CA8662"/>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4B318ABB-065C-4877-A5A6-D95914CC0F56}"/>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958DC808-B4DD-4D16-B4D8-698859D0AB90}"/>
  </w:font>
  <w:font w:name="方正小标宋简体">
    <w:panose1 w:val="02010600010101010101"/>
    <w:charset w:val="86"/>
    <w:family w:val="auto"/>
    <w:pitch w:val="default"/>
    <w:sig w:usb0="00000001" w:usb1="080E0000" w:usb2="00000000" w:usb3="00000000" w:csb0="00040000" w:csb1="00000000"/>
    <w:embedRegular r:id="rId3" w:fontKey="{54B84FFE-85C2-47FB-8CCC-C0431B29A8DC}"/>
  </w:font>
  <w:font w:name="方正仿宋_GB2312">
    <w:panose1 w:val="02000000000000000000"/>
    <w:charset w:val="86"/>
    <w:family w:val="auto"/>
    <w:pitch w:val="default"/>
    <w:sig w:usb0="A00002BF" w:usb1="184F6CFA" w:usb2="00000012" w:usb3="00000000" w:csb0="00040001" w:csb1="00000000"/>
    <w:embedRegular r:id="rId4" w:fontKey="{181AE396-2FBC-4F77-98CD-AE1E8E764DC2}"/>
  </w:font>
  <w:font w:name="仿宋_GB2312">
    <w:panose1 w:val="02010609030101010101"/>
    <w:charset w:val="86"/>
    <w:family w:val="modern"/>
    <w:pitch w:val="default"/>
    <w:sig w:usb0="00000001" w:usb1="080E0000" w:usb2="00000000" w:usb3="00000000" w:csb0="00040000" w:csb1="00000000"/>
    <w:embedRegular r:id="rId5" w:fontKey="{A6FE4B84-E73C-4F08-9118-03813EE6C5DE}"/>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F7E54CF"/>
    <w:rsid w:val="13566140"/>
    <w:rsid w:val="1EAF704D"/>
    <w:rsid w:val="7ABB6AE8"/>
    <w:rsid w:val="7FEF07FA"/>
    <w:rsid w:val="B27FF90F"/>
    <w:rsid w:val="BBEB131D"/>
    <w:rsid w:val="BFEEF912"/>
    <w:rsid w:val="FF7E54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99"/>
    <w:pPr>
      <w:spacing w:after="120"/>
    </w:pPr>
    <w:rPr>
      <w:rFonts w:ascii="Calibri" w:hAnsi="Calibri" w:cs="宋体"/>
      <w:kern w:val="2"/>
      <w:sz w:val="21"/>
      <w:szCs w:val="22"/>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3147</Words>
  <Characters>3323</Characters>
  <Lines>0</Lines>
  <Paragraphs>0</Paragraphs>
  <TotalTime>5</TotalTime>
  <ScaleCrop>false</ScaleCrop>
  <LinksUpToDate>false</LinksUpToDate>
  <CharactersWithSpaces>3489</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2024-05-12T08:43:00Z</dcterms:created>
  <dc:creator>yskp</dc:creator>
  <cp:lastModifiedBy>小气泡</cp:lastModifiedBy>
  <dcterms:modified xsi:type="dcterms:W3CDTF">2025-04-25T03:50:34Z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66F094D26259E8607E10FF67B65AC874_43</vt:lpwstr>
  </property>
  <property fmtid="{D5CDD505-2E9C-101B-9397-08002B2CF9AE}" pid="4" name="KSOTemplateDocerSaveRecord">
    <vt:lpwstr>eyJoZGlkIjoiMzMwMmE5ZDZhMGI4OTMyNjdmOTViOTg4MWE0NTdmMDgiLCJ1c2VySWQiOiIzNTA2MzE3ODMifQ==</vt:lpwstr>
  </property>
</Properties>
</file>